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7458C" w14:textId="77777777" w:rsidR="00883CF5" w:rsidRDefault="00883CF5" w:rsidP="00883CF5">
      <w:pPr>
        <w:spacing w:line="480" w:lineRule="auto"/>
        <w:jc w:val="center"/>
        <w:rPr>
          <w:rFonts w:ascii="Times New Roman" w:hAnsi="Times New Roman" w:cs="Times New Roman"/>
          <w:b/>
          <w:sz w:val="28"/>
          <w:szCs w:val="28"/>
        </w:rPr>
      </w:pPr>
    </w:p>
    <w:p w14:paraId="1BB3CE2C" w14:textId="6D4B3575" w:rsidR="00883CF5" w:rsidRPr="00C93C71" w:rsidRDefault="009A0336" w:rsidP="00BD6196">
      <w:pPr>
        <w:spacing w:after="120" w:line="480" w:lineRule="auto"/>
        <w:ind w:left="-576" w:firstLine="144"/>
        <w:jc w:val="center"/>
        <w:rPr>
          <w:rFonts w:ascii="Times New Roman" w:hAnsi="Times New Roman" w:cs="Times New Roman"/>
          <w:b/>
          <w:sz w:val="34"/>
          <w:szCs w:val="34"/>
        </w:rPr>
      </w:pPr>
      <w:r w:rsidRPr="00C93C71">
        <w:rPr>
          <w:rFonts w:ascii="Times New Roman" w:hAnsi="Times New Roman" w:cs="Times New Roman"/>
          <w:b/>
          <w:sz w:val="34"/>
          <w:szCs w:val="34"/>
        </w:rPr>
        <w:t xml:space="preserve">Interest Groups </w:t>
      </w:r>
      <w:r w:rsidR="00883CF5" w:rsidRPr="00C93C71">
        <w:rPr>
          <w:rFonts w:ascii="Times New Roman" w:hAnsi="Times New Roman" w:cs="Times New Roman"/>
          <w:b/>
          <w:sz w:val="34"/>
          <w:szCs w:val="34"/>
        </w:rPr>
        <w:t>and Political Economy of Public Education Spending</w:t>
      </w:r>
    </w:p>
    <w:p w14:paraId="5BF93E4E" w14:textId="57579430" w:rsidR="00883CF5" w:rsidRPr="00883CF5" w:rsidRDefault="00883CF5" w:rsidP="00C93C71">
      <w:pPr>
        <w:spacing w:after="120" w:line="240" w:lineRule="auto"/>
        <w:ind w:left="-578" w:firstLine="142"/>
        <w:jc w:val="center"/>
        <w:rPr>
          <w:rFonts w:ascii="Times New Roman" w:hAnsi="Times New Roman" w:cs="Times New Roman"/>
          <w:sz w:val="26"/>
          <w:szCs w:val="26"/>
        </w:rPr>
      </w:pPr>
      <w:r w:rsidRPr="00883CF5">
        <w:rPr>
          <w:rFonts w:ascii="Times New Roman" w:hAnsi="Times New Roman" w:cs="Times New Roman"/>
          <w:sz w:val="26"/>
          <w:szCs w:val="26"/>
        </w:rPr>
        <w:t>Ece H. Guleryuz</w:t>
      </w:r>
    </w:p>
    <w:p w14:paraId="7F88502D" w14:textId="626DF068" w:rsidR="002034E3" w:rsidRPr="00C93C71" w:rsidRDefault="00C93C71" w:rsidP="00C93C71">
      <w:pPr>
        <w:spacing w:after="120" w:line="240" w:lineRule="auto"/>
        <w:ind w:left="-578" w:firstLine="142"/>
        <w:jc w:val="center"/>
        <w:rPr>
          <w:rFonts w:ascii="Times New Roman" w:hAnsi="Times New Roman" w:cs="Times New Roman"/>
          <w:i/>
          <w:sz w:val="20"/>
          <w:szCs w:val="20"/>
        </w:rPr>
      </w:pPr>
      <w:r w:rsidRPr="00C93C71">
        <w:rPr>
          <w:rFonts w:ascii="Times New Roman" w:hAnsi="Times New Roman" w:cs="Times New Roman"/>
          <w:i/>
          <w:sz w:val="20"/>
          <w:szCs w:val="20"/>
        </w:rPr>
        <w:t xml:space="preserve">Assistant Professor of Economics, </w:t>
      </w:r>
      <w:r w:rsidR="009A0336" w:rsidRPr="00C93C71">
        <w:rPr>
          <w:rFonts w:ascii="Times New Roman" w:hAnsi="Times New Roman" w:cs="Times New Roman"/>
          <w:i/>
          <w:sz w:val="20"/>
          <w:szCs w:val="20"/>
        </w:rPr>
        <w:t xml:space="preserve">Istanbul 29 </w:t>
      </w:r>
      <w:proofErr w:type="spellStart"/>
      <w:r w:rsidR="009A0336" w:rsidRPr="00C93C71">
        <w:rPr>
          <w:rFonts w:ascii="Times New Roman" w:hAnsi="Times New Roman" w:cs="Times New Roman"/>
          <w:i/>
          <w:sz w:val="20"/>
          <w:szCs w:val="20"/>
        </w:rPr>
        <w:t>Mayis</w:t>
      </w:r>
      <w:proofErr w:type="spellEnd"/>
      <w:r w:rsidR="009A0336" w:rsidRPr="00C93C71">
        <w:rPr>
          <w:rFonts w:ascii="Times New Roman" w:hAnsi="Times New Roman" w:cs="Times New Roman"/>
          <w:i/>
          <w:sz w:val="20"/>
          <w:szCs w:val="20"/>
        </w:rPr>
        <w:t xml:space="preserve"> University</w:t>
      </w:r>
    </w:p>
    <w:p w14:paraId="3442B115" w14:textId="77777777" w:rsidR="00C93C71" w:rsidRDefault="00C93C71" w:rsidP="00C93C71">
      <w:pPr>
        <w:pBdr>
          <w:bottom w:val="single" w:sz="4" w:space="1" w:color="auto"/>
        </w:pBdr>
        <w:spacing w:after="120" w:line="480" w:lineRule="auto"/>
        <w:ind w:left="-576" w:firstLine="144"/>
        <w:jc w:val="center"/>
        <w:rPr>
          <w:rFonts w:ascii="Times New Roman" w:hAnsi="Times New Roman" w:cs="Times New Roman"/>
          <w:b/>
          <w:sz w:val="18"/>
          <w:szCs w:val="18"/>
        </w:rPr>
      </w:pPr>
    </w:p>
    <w:p w14:paraId="69E080E4" w14:textId="77777777" w:rsidR="00C93C71" w:rsidRDefault="00C93C71" w:rsidP="00BD6196">
      <w:pPr>
        <w:spacing w:after="120" w:line="480" w:lineRule="auto"/>
        <w:ind w:left="-576" w:firstLine="144"/>
        <w:jc w:val="center"/>
        <w:rPr>
          <w:rFonts w:ascii="Times New Roman" w:hAnsi="Times New Roman" w:cs="Times New Roman"/>
          <w:b/>
          <w:sz w:val="18"/>
          <w:szCs w:val="18"/>
        </w:rPr>
      </w:pPr>
    </w:p>
    <w:p w14:paraId="5635B0F8" w14:textId="77777777" w:rsidR="00883CF5" w:rsidRPr="00883CF5" w:rsidRDefault="00883CF5" w:rsidP="00C93C71">
      <w:pPr>
        <w:spacing w:after="120" w:line="480" w:lineRule="auto"/>
        <w:ind w:left="-578"/>
        <w:rPr>
          <w:rFonts w:ascii="Times New Roman" w:hAnsi="Times New Roman" w:cs="Times New Roman"/>
          <w:b/>
          <w:sz w:val="18"/>
          <w:szCs w:val="18"/>
        </w:rPr>
      </w:pPr>
      <w:r w:rsidRPr="00883CF5">
        <w:rPr>
          <w:rFonts w:ascii="Times New Roman" w:hAnsi="Times New Roman" w:cs="Times New Roman"/>
          <w:b/>
          <w:sz w:val="18"/>
          <w:szCs w:val="18"/>
        </w:rPr>
        <w:t>Abstract</w:t>
      </w:r>
    </w:p>
    <w:p w14:paraId="64D2FF18" w14:textId="496F226D" w:rsidR="00883CF5" w:rsidRPr="00883CF5" w:rsidRDefault="00883CF5" w:rsidP="00C93C71">
      <w:pPr>
        <w:spacing w:after="120" w:line="240" w:lineRule="exact"/>
        <w:ind w:left="-578"/>
        <w:jc w:val="both"/>
        <w:rPr>
          <w:rFonts w:ascii="Times New Roman" w:hAnsi="Times New Roman" w:cs="Times New Roman"/>
          <w:sz w:val="18"/>
          <w:szCs w:val="18"/>
        </w:rPr>
      </w:pPr>
      <w:r w:rsidRPr="00C93C71">
        <w:rPr>
          <w:rFonts w:ascii="Times New Roman" w:hAnsi="Times New Roman" w:cs="Times New Roman"/>
          <w:i/>
          <w:sz w:val="18"/>
          <w:szCs w:val="18"/>
        </w:rPr>
        <w:t xml:space="preserve">This paper examines the relationship between the </w:t>
      </w:r>
      <w:r w:rsidR="0058751D" w:rsidRPr="00C93C71">
        <w:rPr>
          <w:rFonts w:ascii="Times New Roman" w:hAnsi="Times New Roman" w:cs="Times New Roman"/>
          <w:i/>
          <w:sz w:val="18"/>
          <w:szCs w:val="18"/>
        </w:rPr>
        <w:t xml:space="preserve">lobbying </w:t>
      </w:r>
      <w:r w:rsidRPr="00C93C71">
        <w:rPr>
          <w:rFonts w:ascii="Times New Roman" w:hAnsi="Times New Roman" w:cs="Times New Roman"/>
          <w:i/>
          <w:sz w:val="18"/>
          <w:szCs w:val="18"/>
        </w:rPr>
        <w:t xml:space="preserve">power of different </w:t>
      </w:r>
      <w:r w:rsidR="009A0336" w:rsidRPr="00C93C71">
        <w:rPr>
          <w:rFonts w:ascii="Times New Roman" w:hAnsi="Times New Roman" w:cs="Times New Roman"/>
          <w:i/>
          <w:sz w:val="18"/>
          <w:szCs w:val="18"/>
        </w:rPr>
        <w:t>interest groups</w:t>
      </w:r>
      <w:r w:rsidR="0058751D" w:rsidRPr="00C93C71">
        <w:rPr>
          <w:rFonts w:ascii="Times New Roman" w:hAnsi="Times New Roman" w:cs="Times New Roman"/>
          <w:i/>
          <w:sz w:val="18"/>
          <w:szCs w:val="18"/>
        </w:rPr>
        <w:t xml:space="preserve"> </w:t>
      </w:r>
      <w:r w:rsidRPr="00C93C71">
        <w:rPr>
          <w:rFonts w:ascii="Times New Roman" w:hAnsi="Times New Roman" w:cs="Times New Roman"/>
          <w:i/>
          <w:sz w:val="18"/>
          <w:szCs w:val="18"/>
        </w:rPr>
        <w:t xml:space="preserve">and public education spending in </w:t>
      </w:r>
      <w:r w:rsidR="001B564C" w:rsidRPr="00C93C71">
        <w:rPr>
          <w:rFonts w:ascii="Times New Roman" w:hAnsi="Times New Roman" w:cs="Times New Roman"/>
          <w:i/>
          <w:sz w:val="18"/>
          <w:szCs w:val="18"/>
        </w:rPr>
        <w:t xml:space="preserve">a </w:t>
      </w:r>
      <w:r w:rsidRPr="00C93C71">
        <w:rPr>
          <w:rFonts w:ascii="Times New Roman" w:hAnsi="Times New Roman" w:cs="Times New Roman"/>
          <w:i/>
          <w:sz w:val="18"/>
          <w:szCs w:val="18"/>
        </w:rPr>
        <w:t>panel data estimation</w:t>
      </w:r>
      <w:r w:rsidR="0058751D" w:rsidRPr="00C93C71">
        <w:rPr>
          <w:i/>
        </w:rPr>
        <w:t xml:space="preserve"> </w:t>
      </w:r>
      <w:r w:rsidR="0058751D" w:rsidRPr="00C93C71">
        <w:rPr>
          <w:rFonts w:ascii="Times New Roman" w:hAnsi="Times New Roman" w:cs="Times New Roman"/>
          <w:i/>
          <w:sz w:val="18"/>
          <w:szCs w:val="18"/>
        </w:rPr>
        <w:t>during the period 1996-2009 for 132 countries.</w:t>
      </w:r>
      <w:r w:rsidRPr="00C93C71">
        <w:rPr>
          <w:rFonts w:ascii="Times New Roman" w:hAnsi="Times New Roman" w:cs="Times New Roman"/>
          <w:i/>
          <w:sz w:val="18"/>
          <w:szCs w:val="18"/>
        </w:rPr>
        <w:t xml:space="preserve"> The</w:t>
      </w:r>
      <w:r w:rsidR="001B564C" w:rsidRPr="00C93C71">
        <w:rPr>
          <w:rFonts w:ascii="Times New Roman" w:hAnsi="Times New Roman" w:cs="Times New Roman"/>
          <w:i/>
          <w:sz w:val="18"/>
          <w:szCs w:val="18"/>
        </w:rPr>
        <w:t xml:space="preserve"> </w:t>
      </w:r>
      <w:r w:rsidRPr="00C93C71">
        <w:rPr>
          <w:rFonts w:ascii="Times New Roman" w:hAnsi="Times New Roman" w:cs="Times New Roman"/>
          <w:i/>
          <w:sz w:val="18"/>
          <w:szCs w:val="18"/>
        </w:rPr>
        <w:t>resource rents, manufacture export</w:t>
      </w:r>
      <w:r w:rsidR="00253A7D" w:rsidRPr="00C93C71">
        <w:rPr>
          <w:rFonts w:ascii="Times New Roman" w:hAnsi="Times New Roman" w:cs="Times New Roman"/>
          <w:i/>
          <w:sz w:val="18"/>
          <w:szCs w:val="18"/>
        </w:rPr>
        <w:t>s</w:t>
      </w:r>
      <w:r w:rsidRPr="00C93C71">
        <w:rPr>
          <w:rFonts w:ascii="Times New Roman" w:hAnsi="Times New Roman" w:cs="Times New Roman"/>
          <w:i/>
          <w:sz w:val="18"/>
          <w:szCs w:val="18"/>
        </w:rPr>
        <w:t>, and a</w:t>
      </w:r>
      <w:r w:rsidR="00253A7D" w:rsidRPr="00C93C71">
        <w:rPr>
          <w:rFonts w:ascii="Times New Roman" w:hAnsi="Times New Roman" w:cs="Times New Roman"/>
          <w:i/>
          <w:sz w:val="18"/>
          <w:szCs w:val="18"/>
        </w:rPr>
        <w:t>gricultur</w:t>
      </w:r>
      <w:r w:rsidR="001B564C" w:rsidRPr="00C93C71">
        <w:rPr>
          <w:rFonts w:ascii="Times New Roman" w:hAnsi="Times New Roman" w:cs="Times New Roman"/>
          <w:i/>
          <w:sz w:val="18"/>
          <w:szCs w:val="18"/>
        </w:rPr>
        <w:t>e</w:t>
      </w:r>
      <w:r w:rsidR="00253A7D" w:rsidRPr="00C93C71">
        <w:rPr>
          <w:rFonts w:ascii="Times New Roman" w:hAnsi="Times New Roman" w:cs="Times New Roman"/>
          <w:i/>
          <w:sz w:val="18"/>
          <w:szCs w:val="18"/>
        </w:rPr>
        <w:t xml:space="preserve"> value added are used</w:t>
      </w:r>
      <w:r w:rsidRPr="00C93C71">
        <w:rPr>
          <w:rFonts w:ascii="Times New Roman" w:hAnsi="Times New Roman" w:cs="Times New Roman"/>
          <w:i/>
          <w:sz w:val="18"/>
          <w:szCs w:val="18"/>
        </w:rPr>
        <w:t xml:space="preserve"> as proxy variables </w:t>
      </w:r>
      <w:r w:rsidR="00253A7D" w:rsidRPr="00C93C71">
        <w:rPr>
          <w:rFonts w:ascii="Times New Roman" w:hAnsi="Times New Roman" w:cs="Times New Roman"/>
          <w:i/>
          <w:sz w:val="18"/>
          <w:szCs w:val="18"/>
        </w:rPr>
        <w:t xml:space="preserve">for the </w:t>
      </w:r>
      <w:r w:rsidR="0058751D" w:rsidRPr="00C93C71">
        <w:rPr>
          <w:rFonts w:ascii="Times New Roman" w:hAnsi="Times New Roman" w:cs="Times New Roman"/>
          <w:i/>
          <w:sz w:val="18"/>
          <w:szCs w:val="18"/>
        </w:rPr>
        <w:t xml:space="preserve">lobbying power </w:t>
      </w:r>
      <w:r w:rsidRPr="00C93C71">
        <w:rPr>
          <w:rFonts w:ascii="Times New Roman" w:hAnsi="Times New Roman" w:cs="Times New Roman"/>
          <w:i/>
          <w:sz w:val="18"/>
          <w:szCs w:val="18"/>
        </w:rPr>
        <w:t>of the natural resource owners, manufacturers, and landowners,</w:t>
      </w:r>
      <w:r w:rsidR="009A0336" w:rsidRPr="00C93C71">
        <w:rPr>
          <w:rFonts w:ascii="Times New Roman" w:hAnsi="Times New Roman" w:cs="Times New Roman"/>
          <w:i/>
          <w:sz w:val="18"/>
          <w:szCs w:val="18"/>
        </w:rPr>
        <w:t xml:space="preserve"> </w:t>
      </w:r>
      <w:r w:rsidRPr="00C93C71">
        <w:rPr>
          <w:rFonts w:ascii="Times New Roman" w:hAnsi="Times New Roman" w:cs="Times New Roman"/>
          <w:i/>
          <w:sz w:val="18"/>
          <w:szCs w:val="18"/>
        </w:rPr>
        <w:t>respectively</w:t>
      </w:r>
      <w:r w:rsidR="00D907FD" w:rsidRPr="00C93C71">
        <w:rPr>
          <w:rFonts w:ascii="Times New Roman" w:hAnsi="Times New Roman" w:cs="Times New Roman"/>
          <w:i/>
          <w:sz w:val="18"/>
          <w:szCs w:val="18"/>
        </w:rPr>
        <w:t xml:space="preserve">, in order to substantiate the definition of the </w:t>
      </w:r>
      <w:r w:rsidR="00120745" w:rsidRPr="00C93C71">
        <w:rPr>
          <w:rFonts w:ascii="Times New Roman" w:hAnsi="Times New Roman" w:cs="Times New Roman"/>
          <w:i/>
          <w:sz w:val="18"/>
          <w:szCs w:val="18"/>
        </w:rPr>
        <w:t>lobbying</w:t>
      </w:r>
      <w:r w:rsidR="00D907FD" w:rsidRPr="00C93C71">
        <w:rPr>
          <w:rFonts w:ascii="Times New Roman" w:hAnsi="Times New Roman" w:cs="Times New Roman"/>
          <w:i/>
          <w:sz w:val="18"/>
          <w:szCs w:val="18"/>
        </w:rPr>
        <w:t xml:space="preserve"> power of the</w:t>
      </w:r>
      <w:r w:rsidR="009A0336" w:rsidRPr="00C93C71">
        <w:rPr>
          <w:rFonts w:ascii="Times New Roman" w:hAnsi="Times New Roman" w:cs="Times New Roman"/>
          <w:i/>
          <w:sz w:val="18"/>
          <w:szCs w:val="18"/>
        </w:rPr>
        <w:t xml:space="preserve"> interest groups</w:t>
      </w:r>
      <w:r w:rsidR="00D907FD" w:rsidRPr="00C93C71">
        <w:rPr>
          <w:rFonts w:ascii="Times New Roman" w:hAnsi="Times New Roman" w:cs="Times New Roman"/>
          <w:i/>
          <w:sz w:val="18"/>
          <w:szCs w:val="18"/>
        </w:rPr>
        <w:t xml:space="preserve"> more with economic fundamentals</w:t>
      </w:r>
      <w:r w:rsidRPr="00C93C71">
        <w:rPr>
          <w:rFonts w:ascii="Times New Roman" w:hAnsi="Times New Roman" w:cs="Times New Roman"/>
          <w:i/>
          <w:sz w:val="18"/>
          <w:szCs w:val="18"/>
        </w:rPr>
        <w:t xml:space="preserve">. </w:t>
      </w:r>
      <w:r w:rsidR="00253A7D" w:rsidRPr="00C93C71">
        <w:rPr>
          <w:rFonts w:ascii="Times New Roman" w:hAnsi="Times New Roman" w:cs="Times New Roman"/>
          <w:i/>
          <w:sz w:val="18"/>
          <w:szCs w:val="18"/>
        </w:rPr>
        <w:t xml:space="preserve">As </w:t>
      </w:r>
      <w:r w:rsidR="0058751D" w:rsidRPr="00C93C71">
        <w:rPr>
          <w:rFonts w:ascii="Times New Roman" w:hAnsi="Times New Roman" w:cs="Times New Roman"/>
          <w:i/>
          <w:sz w:val="18"/>
          <w:szCs w:val="18"/>
        </w:rPr>
        <w:t xml:space="preserve">lobbying power </w:t>
      </w:r>
      <w:r w:rsidR="00253A7D" w:rsidRPr="00C93C71">
        <w:rPr>
          <w:rFonts w:ascii="Times New Roman" w:hAnsi="Times New Roman" w:cs="Times New Roman"/>
          <w:i/>
          <w:sz w:val="18"/>
          <w:szCs w:val="18"/>
        </w:rPr>
        <w:t xml:space="preserve">is mediated through </w:t>
      </w:r>
      <w:r w:rsidR="00120745" w:rsidRPr="00C93C71">
        <w:rPr>
          <w:rFonts w:ascii="Times New Roman" w:hAnsi="Times New Roman" w:cs="Times New Roman"/>
          <w:i/>
          <w:sz w:val="18"/>
          <w:szCs w:val="18"/>
        </w:rPr>
        <w:t xml:space="preserve">political </w:t>
      </w:r>
      <w:r w:rsidR="00253A7D" w:rsidRPr="00C93C71">
        <w:rPr>
          <w:rFonts w:ascii="Times New Roman" w:hAnsi="Times New Roman" w:cs="Times New Roman"/>
          <w:i/>
          <w:sz w:val="18"/>
          <w:szCs w:val="18"/>
        </w:rPr>
        <w:t>institutions</w:t>
      </w:r>
      <w:r w:rsidRPr="00C93C71">
        <w:rPr>
          <w:rFonts w:ascii="Times New Roman" w:hAnsi="Times New Roman" w:cs="Times New Roman"/>
          <w:i/>
          <w:sz w:val="18"/>
          <w:szCs w:val="18"/>
        </w:rPr>
        <w:t xml:space="preserve">, </w:t>
      </w:r>
      <w:r w:rsidR="007B0D87" w:rsidRPr="00C93C71">
        <w:rPr>
          <w:rFonts w:ascii="Times New Roman" w:hAnsi="Times New Roman" w:cs="Times New Roman"/>
          <w:i/>
          <w:sz w:val="18"/>
          <w:szCs w:val="18"/>
        </w:rPr>
        <w:t xml:space="preserve">different </w:t>
      </w:r>
      <w:r w:rsidRPr="00C93C71">
        <w:rPr>
          <w:rFonts w:ascii="Times New Roman" w:hAnsi="Times New Roman" w:cs="Times New Roman"/>
          <w:i/>
          <w:sz w:val="18"/>
          <w:szCs w:val="18"/>
        </w:rPr>
        <w:t>governance indicators are used individually and in interaction terms with the proxy</w:t>
      </w:r>
      <w:r w:rsidR="00253A7D" w:rsidRPr="00C93C71">
        <w:rPr>
          <w:rFonts w:ascii="Times New Roman" w:hAnsi="Times New Roman" w:cs="Times New Roman"/>
          <w:i/>
          <w:sz w:val="18"/>
          <w:szCs w:val="18"/>
        </w:rPr>
        <w:t xml:space="preserve"> variables in the estimations. </w:t>
      </w:r>
      <w:r w:rsidR="009A0336" w:rsidRPr="00C93C71">
        <w:rPr>
          <w:rFonts w:ascii="Times New Roman" w:hAnsi="Times New Roman" w:cs="Times New Roman"/>
          <w:i/>
          <w:sz w:val="18"/>
          <w:szCs w:val="18"/>
        </w:rPr>
        <w:t xml:space="preserve">It is found </w:t>
      </w:r>
      <w:r w:rsidR="00253A7D" w:rsidRPr="00C93C71">
        <w:rPr>
          <w:rFonts w:ascii="Times New Roman" w:hAnsi="Times New Roman" w:cs="Times New Roman"/>
          <w:i/>
          <w:sz w:val="18"/>
          <w:szCs w:val="18"/>
        </w:rPr>
        <w:t>t</w:t>
      </w:r>
      <w:r w:rsidR="009A0336" w:rsidRPr="00C93C71">
        <w:rPr>
          <w:rFonts w:ascii="Times New Roman" w:hAnsi="Times New Roman" w:cs="Times New Roman"/>
          <w:i/>
          <w:sz w:val="18"/>
          <w:szCs w:val="18"/>
        </w:rPr>
        <w:t>hat</w:t>
      </w:r>
      <w:r w:rsidR="00253A7D" w:rsidRPr="00C93C71">
        <w:rPr>
          <w:rFonts w:ascii="Times New Roman" w:hAnsi="Times New Roman" w:cs="Times New Roman"/>
          <w:i/>
          <w:sz w:val="18"/>
          <w:szCs w:val="18"/>
        </w:rPr>
        <w:t xml:space="preserve"> when the country is more politically stable</w:t>
      </w:r>
      <w:r w:rsidR="0058751D" w:rsidRPr="00C93C71">
        <w:rPr>
          <w:rFonts w:ascii="Times New Roman" w:hAnsi="Times New Roman" w:cs="Times New Roman"/>
          <w:i/>
          <w:sz w:val="18"/>
          <w:szCs w:val="18"/>
        </w:rPr>
        <w:t xml:space="preserve"> </w:t>
      </w:r>
      <w:r w:rsidR="00253A7D" w:rsidRPr="00C93C71">
        <w:rPr>
          <w:rFonts w:ascii="Times New Roman" w:hAnsi="Times New Roman" w:cs="Times New Roman"/>
          <w:i/>
          <w:sz w:val="18"/>
          <w:szCs w:val="18"/>
        </w:rPr>
        <w:t xml:space="preserve">and the </w:t>
      </w:r>
      <w:r w:rsidR="002C7C2D" w:rsidRPr="00C93C71">
        <w:rPr>
          <w:rFonts w:ascii="Times New Roman" w:hAnsi="Times New Roman" w:cs="Times New Roman"/>
          <w:i/>
          <w:sz w:val="18"/>
          <w:szCs w:val="18"/>
        </w:rPr>
        <w:t xml:space="preserve">more the </w:t>
      </w:r>
      <w:r w:rsidR="00253A7D" w:rsidRPr="00C93C71">
        <w:rPr>
          <w:rFonts w:ascii="Times New Roman" w:hAnsi="Times New Roman" w:cs="Times New Roman"/>
          <w:i/>
          <w:sz w:val="18"/>
          <w:szCs w:val="18"/>
        </w:rPr>
        <w:t xml:space="preserve">rule of law applies, </w:t>
      </w:r>
      <w:r w:rsidRPr="00C93C71">
        <w:rPr>
          <w:rFonts w:ascii="Times New Roman" w:hAnsi="Times New Roman" w:cs="Times New Roman"/>
          <w:i/>
          <w:sz w:val="18"/>
          <w:szCs w:val="18"/>
        </w:rPr>
        <w:t xml:space="preserve">the negative </w:t>
      </w:r>
      <w:r w:rsidR="002C7C2D" w:rsidRPr="00C93C71">
        <w:rPr>
          <w:rFonts w:ascii="Times New Roman" w:hAnsi="Times New Roman" w:cs="Times New Roman"/>
          <w:i/>
          <w:sz w:val="18"/>
          <w:szCs w:val="18"/>
        </w:rPr>
        <w:t xml:space="preserve">(positive) </w:t>
      </w:r>
      <w:r w:rsidRPr="00C93C71">
        <w:rPr>
          <w:rFonts w:ascii="Times New Roman" w:hAnsi="Times New Roman" w:cs="Times New Roman"/>
          <w:i/>
          <w:sz w:val="18"/>
          <w:szCs w:val="18"/>
        </w:rPr>
        <w:t xml:space="preserve">effect of </w:t>
      </w:r>
      <w:r w:rsidR="00253A7D" w:rsidRPr="00C93C71">
        <w:rPr>
          <w:rFonts w:ascii="Times New Roman" w:hAnsi="Times New Roman" w:cs="Times New Roman"/>
          <w:i/>
          <w:sz w:val="18"/>
          <w:szCs w:val="18"/>
        </w:rPr>
        <w:t xml:space="preserve">the </w:t>
      </w:r>
      <w:r w:rsidR="0058751D" w:rsidRPr="00C93C71">
        <w:rPr>
          <w:rFonts w:ascii="Times New Roman" w:hAnsi="Times New Roman" w:cs="Times New Roman"/>
          <w:i/>
          <w:sz w:val="18"/>
          <w:szCs w:val="18"/>
        </w:rPr>
        <w:t xml:space="preserve">lobbying power </w:t>
      </w:r>
      <w:r w:rsidR="00253A7D" w:rsidRPr="00C93C71">
        <w:rPr>
          <w:rFonts w:ascii="Times New Roman" w:hAnsi="Times New Roman" w:cs="Times New Roman"/>
          <w:i/>
          <w:sz w:val="18"/>
          <w:szCs w:val="18"/>
        </w:rPr>
        <w:t xml:space="preserve">of </w:t>
      </w:r>
      <w:r w:rsidRPr="00C93C71">
        <w:rPr>
          <w:rFonts w:ascii="Times New Roman" w:hAnsi="Times New Roman" w:cs="Times New Roman"/>
          <w:i/>
          <w:sz w:val="18"/>
          <w:szCs w:val="18"/>
        </w:rPr>
        <w:t>n</w:t>
      </w:r>
      <w:r w:rsidR="00253A7D" w:rsidRPr="00C93C71">
        <w:rPr>
          <w:rFonts w:ascii="Times New Roman" w:hAnsi="Times New Roman" w:cs="Times New Roman"/>
          <w:i/>
          <w:sz w:val="18"/>
          <w:szCs w:val="18"/>
        </w:rPr>
        <w:t xml:space="preserve">atural resource owners </w:t>
      </w:r>
      <w:r w:rsidR="002C7C2D" w:rsidRPr="00C93C71">
        <w:rPr>
          <w:rFonts w:ascii="Times New Roman" w:hAnsi="Times New Roman" w:cs="Times New Roman"/>
          <w:i/>
          <w:sz w:val="18"/>
          <w:szCs w:val="18"/>
        </w:rPr>
        <w:t xml:space="preserve">(manufacturers) </w:t>
      </w:r>
      <w:r w:rsidRPr="00C93C71">
        <w:rPr>
          <w:rFonts w:ascii="Times New Roman" w:hAnsi="Times New Roman" w:cs="Times New Roman"/>
          <w:i/>
          <w:sz w:val="18"/>
          <w:szCs w:val="18"/>
        </w:rPr>
        <w:t xml:space="preserve">on public education spending intensifies. The negative effect of landowners’ </w:t>
      </w:r>
      <w:r w:rsidR="0058751D" w:rsidRPr="00C93C71">
        <w:rPr>
          <w:rFonts w:ascii="Times New Roman" w:hAnsi="Times New Roman" w:cs="Times New Roman"/>
          <w:i/>
          <w:sz w:val="18"/>
          <w:szCs w:val="18"/>
        </w:rPr>
        <w:t xml:space="preserve">lobbying power </w:t>
      </w:r>
      <w:r w:rsidR="002C7C2D" w:rsidRPr="00C93C71">
        <w:rPr>
          <w:rFonts w:ascii="Times New Roman" w:hAnsi="Times New Roman" w:cs="Times New Roman"/>
          <w:i/>
          <w:sz w:val="18"/>
          <w:szCs w:val="18"/>
        </w:rPr>
        <w:t>diminishes as</w:t>
      </w:r>
      <w:r w:rsidRPr="00C93C71">
        <w:rPr>
          <w:rFonts w:ascii="Times New Roman" w:hAnsi="Times New Roman" w:cs="Times New Roman"/>
          <w:i/>
          <w:sz w:val="18"/>
          <w:szCs w:val="18"/>
        </w:rPr>
        <w:t xml:space="preserve"> institutional quality </w:t>
      </w:r>
      <w:r w:rsidR="002C7C2D" w:rsidRPr="00C93C71">
        <w:rPr>
          <w:rFonts w:ascii="Times New Roman" w:hAnsi="Times New Roman" w:cs="Times New Roman"/>
          <w:i/>
          <w:sz w:val="18"/>
          <w:szCs w:val="18"/>
        </w:rPr>
        <w:t>as measured by governance indicators</w:t>
      </w:r>
      <w:r w:rsidRPr="00C93C71">
        <w:rPr>
          <w:rFonts w:ascii="Times New Roman" w:hAnsi="Times New Roman" w:cs="Times New Roman"/>
          <w:i/>
          <w:sz w:val="18"/>
          <w:szCs w:val="18"/>
        </w:rPr>
        <w:t xml:space="preserve"> improves.</w:t>
      </w:r>
      <w:r>
        <w:rPr>
          <w:rFonts w:ascii="Times New Roman" w:hAnsi="Times New Roman" w:cs="Times New Roman"/>
          <w:sz w:val="18"/>
          <w:szCs w:val="18"/>
        </w:rPr>
        <w:t xml:space="preserve"> </w:t>
      </w:r>
      <w:r w:rsidRPr="00883CF5">
        <w:rPr>
          <w:rFonts w:ascii="Times New Roman" w:hAnsi="Times New Roman" w:cs="Times New Roman"/>
          <w:sz w:val="18"/>
          <w:szCs w:val="18"/>
        </w:rPr>
        <w:t xml:space="preserve">  </w:t>
      </w:r>
      <w:r w:rsidR="002034E3" w:rsidRPr="002034E3">
        <w:rPr>
          <w:rFonts w:ascii="Times New Roman" w:hAnsi="Times New Roman" w:cs="Times New Roman"/>
          <w:sz w:val="18"/>
          <w:szCs w:val="18"/>
        </w:rPr>
        <w:t xml:space="preserve"> </w:t>
      </w:r>
      <w:r w:rsidRPr="00883CF5">
        <w:rPr>
          <w:rFonts w:ascii="Times New Roman" w:hAnsi="Times New Roman" w:cs="Times New Roman"/>
          <w:sz w:val="18"/>
          <w:szCs w:val="18"/>
        </w:rPr>
        <w:t xml:space="preserve"> </w:t>
      </w:r>
    </w:p>
    <w:p w14:paraId="5842988C" w14:textId="77777777" w:rsidR="00C93C71" w:rsidRDefault="00C93C71" w:rsidP="00C93C71">
      <w:pPr>
        <w:spacing w:after="120" w:line="480" w:lineRule="auto"/>
        <w:ind w:left="-578"/>
        <w:jc w:val="both"/>
        <w:rPr>
          <w:rFonts w:ascii="Times New Roman" w:hAnsi="Times New Roman" w:cs="Times New Roman"/>
          <w:b/>
          <w:i/>
          <w:sz w:val="18"/>
          <w:szCs w:val="18"/>
        </w:rPr>
      </w:pPr>
      <w:bookmarkStart w:id="0" w:name="_GoBack"/>
      <w:bookmarkEnd w:id="0"/>
    </w:p>
    <w:p w14:paraId="0D91363B" w14:textId="6CB4B350" w:rsidR="00883CF5" w:rsidRPr="00C93C71" w:rsidRDefault="00883CF5" w:rsidP="00C93C71">
      <w:pPr>
        <w:spacing w:after="120" w:line="240" w:lineRule="auto"/>
        <w:ind w:left="-578"/>
        <w:jc w:val="both"/>
        <w:rPr>
          <w:rFonts w:ascii="Times New Roman" w:hAnsi="Times New Roman" w:cs="Times New Roman"/>
          <w:i/>
          <w:sz w:val="18"/>
          <w:szCs w:val="18"/>
        </w:rPr>
      </w:pPr>
      <w:r w:rsidRPr="00C93C71">
        <w:rPr>
          <w:rFonts w:ascii="Times New Roman" w:hAnsi="Times New Roman" w:cs="Times New Roman"/>
          <w:b/>
          <w:i/>
          <w:sz w:val="18"/>
          <w:szCs w:val="18"/>
        </w:rPr>
        <w:t xml:space="preserve">Keywords: </w:t>
      </w:r>
      <w:r w:rsidRPr="00C93C71">
        <w:rPr>
          <w:rFonts w:ascii="Times New Roman" w:hAnsi="Times New Roman" w:cs="Times New Roman"/>
          <w:i/>
          <w:sz w:val="18"/>
          <w:szCs w:val="18"/>
        </w:rPr>
        <w:t>Public education spending</w:t>
      </w:r>
      <w:r w:rsidR="004646BA" w:rsidRPr="00C93C71">
        <w:rPr>
          <w:rFonts w:ascii="Times New Roman" w:hAnsi="Times New Roman" w:cs="Times New Roman"/>
          <w:i/>
          <w:sz w:val="18"/>
          <w:szCs w:val="18"/>
        </w:rPr>
        <w:t>,</w:t>
      </w:r>
      <w:r w:rsidR="009A0336" w:rsidRPr="00C93C71">
        <w:rPr>
          <w:rFonts w:ascii="Times New Roman" w:hAnsi="Times New Roman" w:cs="Times New Roman"/>
          <w:i/>
          <w:sz w:val="18"/>
          <w:szCs w:val="18"/>
        </w:rPr>
        <w:t xml:space="preserve"> </w:t>
      </w:r>
      <w:proofErr w:type="gramStart"/>
      <w:r w:rsidRPr="00C93C71">
        <w:rPr>
          <w:rFonts w:ascii="Times New Roman" w:hAnsi="Times New Roman" w:cs="Times New Roman"/>
          <w:i/>
          <w:sz w:val="18"/>
          <w:szCs w:val="18"/>
        </w:rPr>
        <w:t>Human</w:t>
      </w:r>
      <w:proofErr w:type="gramEnd"/>
      <w:r w:rsidR="00AC1B37" w:rsidRPr="00C93C71">
        <w:rPr>
          <w:rFonts w:ascii="Times New Roman" w:hAnsi="Times New Roman" w:cs="Times New Roman"/>
          <w:i/>
          <w:sz w:val="18"/>
          <w:szCs w:val="18"/>
        </w:rPr>
        <w:t xml:space="preserve"> </w:t>
      </w:r>
      <w:r w:rsidRPr="00C93C71">
        <w:rPr>
          <w:rFonts w:ascii="Times New Roman" w:hAnsi="Times New Roman" w:cs="Times New Roman"/>
          <w:i/>
          <w:sz w:val="18"/>
          <w:szCs w:val="18"/>
        </w:rPr>
        <w:t xml:space="preserve">capital, </w:t>
      </w:r>
      <w:r w:rsidR="0058751D" w:rsidRPr="00C93C71">
        <w:rPr>
          <w:rFonts w:ascii="Times New Roman" w:hAnsi="Times New Roman" w:cs="Times New Roman"/>
          <w:i/>
          <w:sz w:val="18"/>
          <w:szCs w:val="18"/>
        </w:rPr>
        <w:t>Lobbying power,</w:t>
      </w:r>
      <w:r w:rsidR="009A0336" w:rsidRPr="00C93C71">
        <w:rPr>
          <w:rFonts w:ascii="Times New Roman" w:hAnsi="Times New Roman" w:cs="Times New Roman"/>
          <w:i/>
          <w:sz w:val="18"/>
          <w:szCs w:val="18"/>
        </w:rPr>
        <w:t xml:space="preserve"> Interest groups, </w:t>
      </w:r>
      <w:r w:rsidRPr="00C93C71">
        <w:rPr>
          <w:rFonts w:ascii="Times New Roman" w:hAnsi="Times New Roman" w:cs="Times New Roman"/>
          <w:i/>
          <w:sz w:val="18"/>
          <w:szCs w:val="18"/>
        </w:rPr>
        <w:t>Governance indicators.</w:t>
      </w:r>
    </w:p>
    <w:p w14:paraId="7E4BCBB8" w14:textId="28A3F268" w:rsidR="00117190" w:rsidRDefault="00883CF5" w:rsidP="005F6110">
      <w:pPr>
        <w:pBdr>
          <w:bottom w:val="single" w:sz="4" w:space="1" w:color="auto"/>
        </w:pBdr>
        <w:spacing w:after="120" w:line="240" w:lineRule="auto"/>
        <w:ind w:left="-578"/>
        <w:jc w:val="both"/>
        <w:rPr>
          <w:rFonts w:ascii="Times New Roman" w:hAnsi="Times New Roman" w:cs="Times New Roman"/>
          <w:i/>
          <w:sz w:val="18"/>
          <w:szCs w:val="18"/>
        </w:rPr>
      </w:pPr>
      <w:r w:rsidRPr="00C93C71">
        <w:rPr>
          <w:rFonts w:ascii="Times New Roman" w:hAnsi="Times New Roman" w:cs="Times New Roman"/>
          <w:b/>
          <w:i/>
          <w:sz w:val="18"/>
          <w:szCs w:val="18"/>
        </w:rPr>
        <w:t xml:space="preserve">JEL </w:t>
      </w:r>
      <w:r w:rsidR="00C93C71" w:rsidRPr="00C93C71">
        <w:rPr>
          <w:rFonts w:ascii="Times New Roman" w:hAnsi="Times New Roman" w:cs="Times New Roman"/>
          <w:b/>
          <w:i/>
          <w:sz w:val="18"/>
          <w:szCs w:val="18"/>
        </w:rPr>
        <w:t>code</w:t>
      </w:r>
      <w:r w:rsidRPr="00C93C71">
        <w:rPr>
          <w:rFonts w:ascii="Times New Roman" w:hAnsi="Times New Roman" w:cs="Times New Roman"/>
          <w:b/>
          <w:i/>
          <w:sz w:val="18"/>
          <w:szCs w:val="18"/>
        </w:rPr>
        <w:t xml:space="preserve">: </w:t>
      </w:r>
      <w:r w:rsidRPr="00C93C71">
        <w:rPr>
          <w:rFonts w:ascii="Times New Roman" w:hAnsi="Times New Roman" w:cs="Times New Roman"/>
          <w:i/>
          <w:sz w:val="18"/>
          <w:szCs w:val="18"/>
        </w:rPr>
        <w:t xml:space="preserve">I25, O13, O15, O43, P16, Q00 </w:t>
      </w:r>
    </w:p>
    <w:p w14:paraId="039B5AA2" w14:textId="77777777" w:rsidR="00387E7E" w:rsidRDefault="00387E7E" w:rsidP="005F6110">
      <w:pPr>
        <w:pBdr>
          <w:bottom w:val="single" w:sz="4" w:space="1" w:color="auto"/>
        </w:pBdr>
        <w:spacing w:after="120" w:line="240" w:lineRule="auto"/>
        <w:ind w:left="-578"/>
        <w:jc w:val="both"/>
        <w:rPr>
          <w:rFonts w:ascii="Times New Roman" w:hAnsi="Times New Roman" w:cs="Times New Roman"/>
          <w:i/>
          <w:sz w:val="18"/>
          <w:szCs w:val="18"/>
        </w:rPr>
      </w:pPr>
    </w:p>
    <w:p w14:paraId="79F0B876" w14:textId="77777777" w:rsidR="00387E7E" w:rsidRDefault="00387E7E" w:rsidP="00C93C71">
      <w:pPr>
        <w:spacing w:after="120" w:line="240" w:lineRule="auto"/>
        <w:ind w:left="-578"/>
        <w:jc w:val="both"/>
        <w:rPr>
          <w:rFonts w:ascii="Times New Roman" w:hAnsi="Times New Roman" w:cs="Times New Roman"/>
          <w:i/>
          <w:sz w:val="18"/>
          <w:szCs w:val="18"/>
        </w:rPr>
      </w:pPr>
    </w:p>
    <w:p w14:paraId="22E18F3D" w14:textId="77777777" w:rsidR="00387E7E" w:rsidRPr="00C93C71" w:rsidRDefault="00387E7E" w:rsidP="00C93C71">
      <w:pPr>
        <w:spacing w:after="120" w:line="240" w:lineRule="auto"/>
        <w:ind w:left="-578"/>
        <w:jc w:val="both"/>
        <w:rPr>
          <w:rFonts w:ascii="Times New Roman" w:hAnsi="Times New Roman" w:cs="Times New Roman"/>
          <w:i/>
          <w:sz w:val="18"/>
          <w:szCs w:val="18"/>
        </w:rPr>
      </w:pPr>
    </w:p>
    <w:p w14:paraId="2B78C569" w14:textId="77777777" w:rsidR="002034E3" w:rsidRDefault="002034E3" w:rsidP="00BD6196">
      <w:pPr>
        <w:spacing w:after="120" w:line="480" w:lineRule="auto"/>
        <w:ind w:left="-576" w:firstLine="144"/>
        <w:jc w:val="both"/>
        <w:rPr>
          <w:rFonts w:ascii="Times New Roman" w:hAnsi="Times New Roman" w:cs="Times New Roman"/>
          <w:i/>
          <w:sz w:val="18"/>
          <w:szCs w:val="18"/>
        </w:rPr>
      </w:pPr>
    </w:p>
    <w:p w14:paraId="533A18BF" w14:textId="77777777" w:rsidR="002034E3" w:rsidRDefault="002034E3" w:rsidP="00BD6196">
      <w:pPr>
        <w:spacing w:after="120" w:line="480" w:lineRule="auto"/>
        <w:ind w:left="-576" w:firstLine="144"/>
        <w:jc w:val="both"/>
        <w:rPr>
          <w:rFonts w:ascii="Times New Roman" w:hAnsi="Times New Roman" w:cs="Times New Roman"/>
          <w:i/>
          <w:sz w:val="18"/>
          <w:szCs w:val="18"/>
        </w:rPr>
      </w:pPr>
    </w:p>
    <w:p w14:paraId="76D43BCA" w14:textId="77777777" w:rsidR="002034E3" w:rsidRDefault="002034E3" w:rsidP="00BD6196">
      <w:pPr>
        <w:spacing w:after="120" w:line="480" w:lineRule="auto"/>
        <w:ind w:left="-576" w:firstLine="144"/>
        <w:jc w:val="both"/>
        <w:rPr>
          <w:rFonts w:ascii="Times New Roman" w:hAnsi="Times New Roman" w:cs="Times New Roman"/>
          <w:i/>
          <w:sz w:val="18"/>
          <w:szCs w:val="18"/>
        </w:rPr>
      </w:pPr>
    </w:p>
    <w:p w14:paraId="47069D82" w14:textId="77777777" w:rsidR="002034E3" w:rsidRDefault="002034E3" w:rsidP="00BD6196">
      <w:pPr>
        <w:spacing w:after="120" w:line="480" w:lineRule="auto"/>
        <w:ind w:left="-576" w:firstLine="144"/>
        <w:jc w:val="both"/>
        <w:rPr>
          <w:rFonts w:ascii="Times New Roman" w:hAnsi="Times New Roman" w:cs="Times New Roman"/>
          <w:i/>
          <w:sz w:val="18"/>
          <w:szCs w:val="18"/>
        </w:rPr>
      </w:pPr>
    </w:p>
    <w:p w14:paraId="1D89389D" w14:textId="77777777" w:rsidR="004F785A" w:rsidRDefault="004F785A" w:rsidP="004F785A">
      <w:pPr>
        <w:spacing w:after="120" w:line="360" w:lineRule="auto"/>
        <w:ind w:left="-72"/>
        <w:jc w:val="both"/>
        <w:rPr>
          <w:rFonts w:ascii="Times New Roman" w:hAnsi="Times New Roman" w:cs="Times New Roman"/>
          <w:sz w:val="24"/>
          <w:szCs w:val="24"/>
        </w:rPr>
      </w:pPr>
    </w:p>
    <w:p w14:paraId="344DA29F" w14:textId="77777777" w:rsidR="004F785A" w:rsidRDefault="004F785A" w:rsidP="004F785A">
      <w:pPr>
        <w:spacing w:after="120" w:line="360" w:lineRule="auto"/>
        <w:ind w:left="-72"/>
        <w:jc w:val="both"/>
        <w:rPr>
          <w:rFonts w:ascii="Times New Roman" w:hAnsi="Times New Roman" w:cs="Times New Roman"/>
          <w:sz w:val="24"/>
          <w:szCs w:val="24"/>
        </w:rPr>
      </w:pPr>
    </w:p>
    <w:p w14:paraId="029999FE" w14:textId="78F873AC" w:rsidR="00387E7E" w:rsidRPr="005F6110" w:rsidRDefault="00387E7E" w:rsidP="005F6110">
      <w:pPr>
        <w:pStyle w:val="ListParagraph"/>
        <w:numPr>
          <w:ilvl w:val="0"/>
          <w:numId w:val="9"/>
        </w:numPr>
        <w:spacing w:after="120" w:line="240" w:lineRule="auto"/>
        <w:ind w:left="-431" w:firstLine="0"/>
        <w:jc w:val="both"/>
        <w:rPr>
          <w:rFonts w:ascii="Times New Roman" w:hAnsi="Times New Roman" w:cs="Times New Roman"/>
          <w:b/>
          <w:sz w:val="20"/>
          <w:szCs w:val="20"/>
        </w:rPr>
      </w:pPr>
      <w:r w:rsidRPr="005F6110">
        <w:rPr>
          <w:rFonts w:ascii="Times New Roman" w:hAnsi="Times New Roman" w:cs="Times New Roman"/>
          <w:b/>
          <w:sz w:val="20"/>
          <w:szCs w:val="20"/>
        </w:rPr>
        <w:lastRenderedPageBreak/>
        <w:t>Introduction</w:t>
      </w:r>
    </w:p>
    <w:p w14:paraId="3EC23E54" w14:textId="1A267612" w:rsidR="004E066D" w:rsidRPr="005F6110" w:rsidRDefault="004E066D"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The Industrial Revolutio</w:t>
      </w:r>
      <w:r w:rsidR="000F189A" w:rsidRPr="005F6110">
        <w:rPr>
          <w:rFonts w:ascii="Times New Roman" w:hAnsi="Times New Roman" w:cs="Times New Roman"/>
          <w:sz w:val="20"/>
          <w:szCs w:val="20"/>
        </w:rPr>
        <w:t>n marked the start of a long</w:t>
      </w:r>
      <w:r w:rsidRPr="005F6110">
        <w:rPr>
          <w:rFonts w:ascii="Times New Roman" w:hAnsi="Times New Roman" w:cs="Times New Roman"/>
          <w:sz w:val="20"/>
          <w:szCs w:val="20"/>
        </w:rPr>
        <w:t xml:space="preserve"> series of social and economi</w:t>
      </w:r>
      <w:r w:rsidR="000F189A" w:rsidRPr="005F6110">
        <w:rPr>
          <w:rFonts w:ascii="Times New Roman" w:hAnsi="Times New Roman" w:cs="Times New Roman"/>
          <w:sz w:val="20"/>
          <w:szCs w:val="20"/>
        </w:rPr>
        <w:t>c</w:t>
      </w:r>
      <w:r w:rsidR="004F785A" w:rsidRPr="005F6110">
        <w:rPr>
          <w:rFonts w:ascii="Times New Roman" w:hAnsi="Times New Roman" w:cs="Times New Roman"/>
          <w:sz w:val="20"/>
          <w:szCs w:val="20"/>
        </w:rPr>
        <w:t xml:space="preserve"> </w:t>
      </w:r>
      <w:r w:rsidR="000F189A" w:rsidRPr="005F6110">
        <w:rPr>
          <w:rFonts w:ascii="Times New Roman" w:hAnsi="Times New Roman" w:cs="Times New Roman"/>
          <w:sz w:val="20"/>
          <w:szCs w:val="20"/>
        </w:rPr>
        <w:t>transformations leading to substantial divergence across countries</w:t>
      </w:r>
      <w:r w:rsidRPr="005F6110">
        <w:rPr>
          <w:rFonts w:ascii="Times New Roman" w:hAnsi="Times New Roman" w:cs="Times New Roman"/>
          <w:sz w:val="20"/>
          <w:szCs w:val="20"/>
        </w:rPr>
        <w:t xml:space="preserve"> in </w:t>
      </w:r>
      <w:r w:rsidR="000F189A" w:rsidRPr="005F6110">
        <w:rPr>
          <w:rFonts w:ascii="Times New Roman" w:hAnsi="Times New Roman" w:cs="Times New Roman"/>
          <w:sz w:val="20"/>
          <w:szCs w:val="20"/>
        </w:rPr>
        <w:t xml:space="preserve">terms of </w:t>
      </w:r>
      <w:r w:rsidRPr="005F6110">
        <w:rPr>
          <w:rFonts w:ascii="Times New Roman" w:hAnsi="Times New Roman" w:cs="Times New Roman"/>
          <w:sz w:val="20"/>
          <w:szCs w:val="20"/>
        </w:rPr>
        <w:t xml:space="preserve">income per capita, economic development, </w:t>
      </w:r>
      <w:r w:rsidR="000F189A" w:rsidRPr="005F6110">
        <w:rPr>
          <w:rFonts w:ascii="Times New Roman" w:hAnsi="Times New Roman" w:cs="Times New Roman"/>
          <w:sz w:val="20"/>
          <w:szCs w:val="20"/>
        </w:rPr>
        <w:t>and political and economic institution</w:t>
      </w:r>
      <w:r w:rsidRPr="005F6110">
        <w:rPr>
          <w:rFonts w:ascii="Times New Roman" w:hAnsi="Times New Roman" w:cs="Times New Roman"/>
          <w:sz w:val="20"/>
          <w:szCs w:val="20"/>
        </w:rPr>
        <w:t xml:space="preserve">s. The </w:t>
      </w:r>
      <w:r w:rsidR="000F189A" w:rsidRPr="005F6110">
        <w:rPr>
          <w:rFonts w:ascii="Times New Roman" w:hAnsi="Times New Roman" w:cs="Times New Roman"/>
          <w:sz w:val="20"/>
          <w:szCs w:val="20"/>
        </w:rPr>
        <w:t>period of industrialization</w:t>
      </w:r>
      <w:r w:rsidRPr="005F6110">
        <w:rPr>
          <w:rFonts w:ascii="Times New Roman" w:hAnsi="Times New Roman" w:cs="Times New Roman"/>
          <w:sz w:val="20"/>
          <w:szCs w:val="20"/>
        </w:rPr>
        <w:t xml:space="preserve"> both intensified social class stratifica</w:t>
      </w:r>
      <w:r w:rsidR="000F189A" w:rsidRPr="005F6110">
        <w:rPr>
          <w:rFonts w:ascii="Times New Roman" w:hAnsi="Times New Roman" w:cs="Times New Roman"/>
          <w:sz w:val="20"/>
          <w:szCs w:val="20"/>
        </w:rPr>
        <w:t>tion by creating new classes</w:t>
      </w:r>
      <w:r w:rsidRPr="005F6110">
        <w:rPr>
          <w:rFonts w:ascii="Times New Roman" w:hAnsi="Times New Roman" w:cs="Times New Roman"/>
          <w:sz w:val="20"/>
          <w:szCs w:val="20"/>
        </w:rPr>
        <w:t xml:space="preserve"> and increased the demand for human capital</w:t>
      </w:r>
      <w:r w:rsidR="000F189A" w:rsidRPr="005F6110">
        <w:rPr>
          <w:rFonts w:ascii="Times New Roman" w:hAnsi="Times New Roman" w:cs="Times New Roman"/>
          <w:sz w:val="20"/>
          <w:szCs w:val="20"/>
        </w:rPr>
        <w:t xml:space="preserve">, </w:t>
      </w:r>
      <w:r w:rsidRPr="005F6110">
        <w:rPr>
          <w:rFonts w:ascii="Times New Roman" w:hAnsi="Times New Roman" w:cs="Times New Roman"/>
          <w:sz w:val="20"/>
          <w:szCs w:val="20"/>
        </w:rPr>
        <w:t>a complementary factor of productio</w:t>
      </w:r>
      <w:r w:rsidR="000F189A" w:rsidRPr="005F6110">
        <w:rPr>
          <w:rFonts w:ascii="Times New Roman" w:hAnsi="Times New Roman" w:cs="Times New Roman"/>
          <w:sz w:val="20"/>
          <w:szCs w:val="20"/>
        </w:rPr>
        <w:t>n to physical capital.</w:t>
      </w:r>
      <w:r w:rsidR="001B564C" w:rsidRPr="005F6110">
        <w:rPr>
          <w:rFonts w:ascii="Times New Roman" w:hAnsi="Times New Roman" w:cs="Times New Roman"/>
          <w:sz w:val="20"/>
          <w:szCs w:val="20"/>
        </w:rPr>
        <w:t xml:space="preserve"> Due to </w:t>
      </w:r>
      <w:r w:rsidRPr="005F6110">
        <w:rPr>
          <w:rFonts w:ascii="Times New Roman" w:hAnsi="Times New Roman" w:cs="Times New Roman"/>
          <w:sz w:val="20"/>
          <w:szCs w:val="20"/>
        </w:rPr>
        <w:t>credit market imperfections, public education spending has become the primary tool for human capital accumulation to maintain sustainable economic growth (</w:t>
      </w:r>
      <w:proofErr w:type="spellStart"/>
      <w:r w:rsidRPr="005F6110">
        <w:rPr>
          <w:rFonts w:ascii="Times New Roman" w:hAnsi="Times New Roman" w:cs="Times New Roman"/>
          <w:sz w:val="20"/>
          <w:szCs w:val="20"/>
        </w:rPr>
        <w:t>Galor</w:t>
      </w:r>
      <w:proofErr w:type="spellEnd"/>
      <w:r w:rsidRPr="005F6110">
        <w:rPr>
          <w:rFonts w:ascii="Times New Roman" w:hAnsi="Times New Roman" w:cs="Times New Roman"/>
          <w:sz w:val="20"/>
          <w:szCs w:val="20"/>
        </w:rPr>
        <w:t xml:space="preserve"> et al., 2009,</w:t>
      </w:r>
      <w:r w:rsidR="004F785A"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Lagerlof and </w:t>
      </w:r>
      <w:proofErr w:type="spellStart"/>
      <w:r w:rsidRPr="005F6110">
        <w:rPr>
          <w:rFonts w:ascii="Times New Roman" w:hAnsi="Times New Roman" w:cs="Times New Roman"/>
          <w:sz w:val="20"/>
          <w:szCs w:val="20"/>
        </w:rPr>
        <w:t>Tangeras</w:t>
      </w:r>
      <w:proofErr w:type="spellEnd"/>
      <w:r w:rsidRPr="005F6110">
        <w:rPr>
          <w:rFonts w:ascii="Times New Roman" w:hAnsi="Times New Roman" w:cs="Times New Roman"/>
          <w:sz w:val="20"/>
          <w:szCs w:val="20"/>
        </w:rPr>
        <w:t xml:space="preserve">, 2008). Nonetheless, human capital may not be </w:t>
      </w:r>
      <w:r w:rsidR="000F189A" w:rsidRPr="005F6110">
        <w:rPr>
          <w:rFonts w:ascii="Times New Roman" w:hAnsi="Times New Roman" w:cs="Times New Roman"/>
          <w:sz w:val="20"/>
          <w:szCs w:val="20"/>
        </w:rPr>
        <w:t xml:space="preserve">as </w:t>
      </w:r>
      <w:r w:rsidRPr="005F6110">
        <w:rPr>
          <w:rFonts w:ascii="Times New Roman" w:hAnsi="Times New Roman" w:cs="Times New Roman"/>
          <w:sz w:val="20"/>
          <w:szCs w:val="20"/>
        </w:rPr>
        <w:t xml:space="preserve">beneficial for some sectors in the economy, and the </w:t>
      </w:r>
      <w:r w:rsidR="004F785A" w:rsidRPr="005F6110">
        <w:rPr>
          <w:rFonts w:ascii="Times New Roman" w:hAnsi="Times New Roman" w:cs="Times New Roman"/>
          <w:sz w:val="20"/>
          <w:szCs w:val="20"/>
        </w:rPr>
        <w:t>interest groups</w:t>
      </w:r>
      <w:r w:rsidRPr="005F6110">
        <w:rPr>
          <w:rFonts w:ascii="Times New Roman" w:hAnsi="Times New Roman" w:cs="Times New Roman"/>
          <w:sz w:val="20"/>
          <w:szCs w:val="20"/>
        </w:rPr>
        <w:t xml:space="preserve"> who operate in these sectors as the owners of </w:t>
      </w:r>
      <w:r w:rsidR="000F189A" w:rsidRPr="005F6110">
        <w:rPr>
          <w:rFonts w:ascii="Times New Roman" w:hAnsi="Times New Roman" w:cs="Times New Roman"/>
          <w:sz w:val="20"/>
          <w:szCs w:val="20"/>
        </w:rPr>
        <w:t>primary factors of production would</w:t>
      </w:r>
      <w:r w:rsidRPr="005F6110">
        <w:rPr>
          <w:rFonts w:ascii="Times New Roman" w:hAnsi="Times New Roman" w:cs="Times New Roman"/>
          <w:sz w:val="20"/>
          <w:szCs w:val="20"/>
        </w:rPr>
        <w:t xml:space="preserve"> not support human capital accumulation</w:t>
      </w:r>
      <w:r w:rsidR="000F189A" w:rsidRPr="005F6110">
        <w:rPr>
          <w:rFonts w:ascii="Times New Roman" w:hAnsi="Times New Roman" w:cs="Times New Roman"/>
          <w:sz w:val="20"/>
          <w:szCs w:val="20"/>
        </w:rPr>
        <w:t xml:space="preserve"> through public education</w:t>
      </w:r>
      <w:r w:rsidR="005976F9" w:rsidRPr="005F6110">
        <w:rPr>
          <w:rFonts w:ascii="Times New Roman" w:hAnsi="Times New Roman" w:cs="Times New Roman"/>
          <w:sz w:val="20"/>
          <w:szCs w:val="20"/>
        </w:rPr>
        <w:t xml:space="preserve"> (Acemoglu and Robinson, 2000)</w:t>
      </w:r>
      <w:r w:rsidRPr="005F6110">
        <w:rPr>
          <w:rFonts w:ascii="Times New Roman" w:hAnsi="Times New Roman" w:cs="Times New Roman"/>
          <w:sz w:val="20"/>
          <w:szCs w:val="20"/>
        </w:rPr>
        <w:t>.</w:t>
      </w:r>
      <w:r w:rsidR="005976F9"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For instance, </w:t>
      </w:r>
      <w:proofErr w:type="spellStart"/>
      <w:r w:rsidRPr="005F6110">
        <w:rPr>
          <w:rFonts w:ascii="Times New Roman" w:hAnsi="Times New Roman" w:cs="Times New Roman"/>
          <w:sz w:val="20"/>
          <w:szCs w:val="20"/>
        </w:rPr>
        <w:t>Galo</w:t>
      </w:r>
      <w:r w:rsidR="000F189A" w:rsidRPr="005F6110">
        <w:rPr>
          <w:rFonts w:ascii="Times New Roman" w:hAnsi="Times New Roman" w:cs="Times New Roman"/>
          <w:sz w:val="20"/>
          <w:szCs w:val="20"/>
        </w:rPr>
        <w:t>r</w:t>
      </w:r>
      <w:proofErr w:type="spellEnd"/>
      <w:r w:rsidR="005976F9" w:rsidRPr="005F6110">
        <w:rPr>
          <w:rFonts w:ascii="Times New Roman" w:hAnsi="Times New Roman" w:cs="Times New Roman"/>
          <w:sz w:val="20"/>
          <w:szCs w:val="20"/>
        </w:rPr>
        <w:t xml:space="preserve"> </w:t>
      </w:r>
      <w:r w:rsidR="000F189A" w:rsidRPr="005F6110">
        <w:rPr>
          <w:rFonts w:ascii="Times New Roman" w:hAnsi="Times New Roman" w:cs="Times New Roman"/>
          <w:sz w:val="20"/>
          <w:szCs w:val="20"/>
        </w:rPr>
        <w:t>et al. (2009) argue that given the</w:t>
      </w:r>
      <w:r w:rsidRPr="005F6110">
        <w:rPr>
          <w:rFonts w:ascii="Times New Roman" w:hAnsi="Times New Roman" w:cs="Times New Roman"/>
          <w:sz w:val="20"/>
          <w:szCs w:val="20"/>
        </w:rPr>
        <w:t xml:space="preserve"> low level of complementarity betwee</w:t>
      </w:r>
      <w:r w:rsidR="000F189A" w:rsidRPr="005F6110">
        <w:rPr>
          <w:rFonts w:ascii="Times New Roman" w:hAnsi="Times New Roman" w:cs="Times New Roman"/>
          <w:sz w:val="20"/>
          <w:szCs w:val="20"/>
        </w:rPr>
        <w:t>n human capital and land,</w:t>
      </w:r>
      <w:r w:rsidRPr="005F6110">
        <w:rPr>
          <w:rFonts w:ascii="Times New Roman" w:hAnsi="Times New Roman" w:cs="Times New Roman"/>
          <w:sz w:val="20"/>
          <w:szCs w:val="20"/>
        </w:rPr>
        <w:t xml:space="preserve"> increases in human capital reduce the return to land </w:t>
      </w:r>
      <w:r w:rsidR="000F189A" w:rsidRPr="005F6110">
        <w:rPr>
          <w:rFonts w:ascii="Times New Roman" w:hAnsi="Times New Roman" w:cs="Times New Roman"/>
          <w:sz w:val="20"/>
          <w:szCs w:val="20"/>
        </w:rPr>
        <w:t>as labor migrates from the agricultural</w:t>
      </w:r>
      <w:r w:rsidRPr="005F6110">
        <w:rPr>
          <w:rFonts w:ascii="Times New Roman" w:hAnsi="Times New Roman" w:cs="Times New Roman"/>
          <w:sz w:val="20"/>
          <w:szCs w:val="20"/>
        </w:rPr>
        <w:t xml:space="preserve"> sector to the manufacturing sector</w:t>
      </w:r>
      <w:r w:rsidR="000F189A" w:rsidRPr="005F6110">
        <w:rPr>
          <w:rFonts w:ascii="Times New Roman" w:hAnsi="Times New Roman" w:cs="Times New Roman"/>
          <w:sz w:val="20"/>
          <w:szCs w:val="20"/>
        </w:rPr>
        <w:t>. W</w:t>
      </w:r>
      <w:r w:rsidRPr="005F6110">
        <w:rPr>
          <w:rFonts w:ascii="Times New Roman" w:hAnsi="Times New Roman" w:cs="Times New Roman"/>
          <w:sz w:val="20"/>
          <w:szCs w:val="20"/>
        </w:rPr>
        <w:t>hen</w:t>
      </w:r>
      <w:r w:rsidR="000F189A" w:rsidRPr="005F6110">
        <w:rPr>
          <w:rFonts w:ascii="Times New Roman" w:hAnsi="Times New Roman" w:cs="Times New Roman"/>
          <w:sz w:val="20"/>
          <w:szCs w:val="20"/>
        </w:rPr>
        <w:t xml:space="preserve"> they have political power</w:t>
      </w:r>
      <w:r w:rsidR="009B0784" w:rsidRPr="005F6110">
        <w:rPr>
          <w:rFonts w:ascii="Times New Roman" w:hAnsi="Times New Roman" w:cs="Times New Roman"/>
          <w:sz w:val="20"/>
          <w:szCs w:val="20"/>
        </w:rPr>
        <w:t xml:space="preserve">, </w:t>
      </w:r>
      <w:r w:rsidR="000F189A" w:rsidRPr="005F6110">
        <w:rPr>
          <w:rFonts w:ascii="Times New Roman" w:hAnsi="Times New Roman" w:cs="Times New Roman"/>
          <w:sz w:val="20"/>
          <w:szCs w:val="20"/>
        </w:rPr>
        <w:t>the l</w:t>
      </w:r>
      <w:r w:rsidRPr="005F6110">
        <w:rPr>
          <w:rFonts w:ascii="Times New Roman" w:hAnsi="Times New Roman" w:cs="Times New Roman"/>
          <w:sz w:val="20"/>
          <w:szCs w:val="20"/>
        </w:rPr>
        <w:t xml:space="preserve">andowners </w:t>
      </w:r>
      <w:r w:rsidR="000F189A" w:rsidRPr="005F6110">
        <w:rPr>
          <w:rFonts w:ascii="Times New Roman" w:hAnsi="Times New Roman" w:cs="Times New Roman"/>
          <w:sz w:val="20"/>
          <w:szCs w:val="20"/>
        </w:rPr>
        <w:t>would choose to</w:t>
      </w:r>
      <w:r w:rsidRPr="005F6110">
        <w:rPr>
          <w:rFonts w:ascii="Times New Roman" w:hAnsi="Times New Roman" w:cs="Times New Roman"/>
          <w:sz w:val="20"/>
          <w:szCs w:val="20"/>
        </w:rPr>
        <w:t xml:space="preserve"> invest </w:t>
      </w:r>
      <w:r w:rsidR="000F189A" w:rsidRPr="005F6110">
        <w:rPr>
          <w:rFonts w:ascii="Times New Roman" w:hAnsi="Times New Roman" w:cs="Times New Roman"/>
          <w:sz w:val="20"/>
          <w:szCs w:val="20"/>
        </w:rPr>
        <w:t xml:space="preserve">little, if at all, </w:t>
      </w:r>
      <w:r w:rsidRPr="005F6110">
        <w:rPr>
          <w:rFonts w:ascii="Times New Roman" w:hAnsi="Times New Roman" w:cs="Times New Roman"/>
          <w:sz w:val="20"/>
          <w:szCs w:val="20"/>
        </w:rPr>
        <w:t xml:space="preserve">in public education unless they </w:t>
      </w:r>
      <w:r w:rsidR="000F189A" w:rsidRPr="005F6110">
        <w:rPr>
          <w:rFonts w:ascii="Times New Roman" w:hAnsi="Times New Roman" w:cs="Times New Roman"/>
          <w:sz w:val="20"/>
          <w:szCs w:val="20"/>
        </w:rPr>
        <w:t xml:space="preserve">also </w:t>
      </w:r>
      <w:r w:rsidRPr="005F6110">
        <w:rPr>
          <w:rFonts w:ascii="Times New Roman" w:hAnsi="Times New Roman" w:cs="Times New Roman"/>
          <w:sz w:val="20"/>
          <w:szCs w:val="20"/>
        </w:rPr>
        <w:t>earn ret</w:t>
      </w:r>
      <w:r w:rsidR="000F189A" w:rsidRPr="005F6110">
        <w:rPr>
          <w:rFonts w:ascii="Times New Roman" w:hAnsi="Times New Roman" w:cs="Times New Roman"/>
          <w:sz w:val="20"/>
          <w:szCs w:val="20"/>
        </w:rPr>
        <w:t>urns from the industrial sector</w:t>
      </w:r>
      <w:r w:rsidRPr="005F6110">
        <w:rPr>
          <w:rFonts w:ascii="Times New Roman" w:hAnsi="Times New Roman" w:cs="Times New Roman"/>
          <w:sz w:val="20"/>
          <w:szCs w:val="20"/>
        </w:rPr>
        <w:t>.</w:t>
      </w:r>
    </w:p>
    <w:p w14:paraId="3CDDE19A" w14:textId="2E1C15F2" w:rsidR="004E066D" w:rsidRPr="005F6110" w:rsidRDefault="0058751D"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In</w:t>
      </w:r>
      <w:r w:rsidR="004E066D" w:rsidRPr="005F6110">
        <w:rPr>
          <w:rFonts w:ascii="Times New Roman" w:hAnsi="Times New Roman" w:cs="Times New Roman"/>
          <w:sz w:val="20"/>
          <w:szCs w:val="20"/>
        </w:rPr>
        <w:t xml:space="preserve"> this paper </w:t>
      </w:r>
      <w:r w:rsidRPr="005F6110">
        <w:rPr>
          <w:rFonts w:ascii="Times New Roman" w:hAnsi="Times New Roman" w:cs="Times New Roman"/>
          <w:sz w:val="20"/>
          <w:szCs w:val="20"/>
        </w:rPr>
        <w:t xml:space="preserve">we </w:t>
      </w:r>
      <w:r w:rsidR="004E066D" w:rsidRPr="005F6110">
        <w:rPr>
          <w:rFonts w:ascii="Times New Roman" w:hAnsi="Times New Roman" w:cs="Times New Roman"/>
          <w:sz w:val="20"/>
          <w:szCs w:val="20"/>
        </w:rPr>
        <w:t>examine</w:t>
      </w:r>
      <w:r w:rsidRPr="005F6110">
        <w:rPr>
          <w:sz w:val="20"/>
          <w:szCs w:val="20"/>
        </w:rPr>
        <w:t xml:space="preserve"> </w:t>
      </w:r>
      <w:r w:rsidRPr="005F6110">
        <w:rPr>
          <w:rFonts w:ascii="Times New Roman" w:hAnsi="Times New Roman" w:cs="Times New Roman"/>
          <w:sz w:val="20"/>
          <w:szCs w:val="20"/>
        </w:rPr>
        <w:t xml:space="preserve">the relationship between lobbying power of various </w:t>
      </w:r>
      <w:r w:rsidR="004F785A" w:rsidRPr="005F6110">
        <w:rPr>
          <w:rFonts w:ascii="Times New Roman" w:hAnsi="Times New Roman" w:cs="Times New Roman"/>
          <w:sz w:val="20"/>
          <w:szCs w:val="20"/>
        </w:rPr>
        <w:t>interest groups</w:t>
      </w:r>
      <w:r w:rsidRPr="005F6110">
        <w:rPr>
          <w:rFonts w:ascii="Times New Roman" w:hAnsi="Times New Roman" w:cs="Times New Roman"/>
          <w:sz w:val="20"/>
          <w:szCs w:val="20"/>
        </w:rPr>
        <w:t xml:space="preserve"> and public education spending in a panel data estimation during the period 1996-2009 for 132 countries.</w:t>
      </w:r>
      <w:r w:rsidR="005976F9" w:rsidRPr="005F6110">
        <w:rPr>
          <w:rFonts w:ascii="Times New Roman" w:hAnsi="Times New Roman" w:cs="Times New Roman"/>
          <w:sz w:val="20"/>
          <w:szCs w:val="20"/>
        </w:rPr>
        <w:t xml:space="preserve"> </w:t>
      </w:r>
      <w:r w:rsidR="004E066D" w:rsidRPr="005F6110">
        <w:rPr>
          <w:rFonts w:ascii="Times New Roman" w:hAnsi="Times New Roman" w:cs="Times New Roman"/>
          <w:sz w:val="20"/>
          <w:szCs w:val="20"/>
        </w:rPr>
        <w:t xml:space="preserve">Furthermore, </w:t>
      </w:r>
      <w:r w:rsidR="000F189A" w:rsidRPr="005F6110">
        <w:rPr>
          <w:rFonts w:ascii="Times New Roman" w:hAnsi="Times New Roman" w:cs="Times New Roman"/>
          <w:sz w:val="20"/>
          <w:szCs w:val="20"/>
        </w:rPr>
        <w:t xml:space="preserve">as </w:t>
      </w:r>
      <w:r w:rsidR="005976F9" w:rsidRPr="005F6110">
        <w:rPr>
          <w:rFonts w:ascii="Times New Roman" w:hAnsi="Times New Roman" w:cs="Times New Roman"/>
          <w:sz w:val="20"/>
          <w:szCs w:val="20"/>
        </w:rPr>
        <w:t xml:space="preserve">lobbying power </w:t>
      </w:r>
      <w:r w:rsidR="000F189A" w:rsidRPr="005F6110">
        <w:rPr>
          <w:rFonts w:ascii="Times New Roman" w:hAnsi="Times New Roman" w:cs="Times New Roman"/>
          <w:sz w:val="20"/>
          <w:szCs w:val="20"/>
        </w:rPr>
        <w:t xml:space="preserve">is mediated through political institutions, we explore how </w:t>
      </w:r>
      <w:r w:rsidR="004E066D" w:rsidRPr="005F6110">
        <w:rPr>
          <w:rFonts w:ascii="Times New Roman" w:hAnsi="Times New Roman" w:cs="Times New Roman"/>
          <w:sz w:val="20"/>
          <w:szCs w:val="20"/>
        </w:rPr>
        <w:t>differe</w:t>
      </w:r>
      <w:r w:rsidR="000F189A" w:rsidRPr="005F6110">
        <w:rPr>
          <w:rFonts w:ascii="Times New Roman" w:hAnsi="Times New Roman" w:cs="Times New Roman"/>
          <w:sz w:val="20"/>
          <w:szCs w:val="20"/>
        </w:rPr>
        <w:t>nt governance indicators affect the overall</w:t>
      </w:r>
      <w:r w:rsidR="004E066D" w:rsidRPr="005F6110">
        <w:rPr>
          <w:rFonts w:ascii="Times New Roman" w:hAnsi="Times New Roman" w:cs="Times New Roman"/>
          <w:sz w:val="20"/>
          <w:szCs w:val="20"/>
        </w:rPr>
        <w:t xml:space="preserve"> impact of the</w:t>
      </w:r>
      <w:r w:rsidR="000F189A" w:rsidRPr="005F6110">
        <w:rPr>
          <w:rFonts w:ascii="Times New Roman" w:hAnsi="Times New Roman" w:cs="Times New Roman"/>
          <w:sz w:val="20"/>
          <w:szCs w:val="20"/>
        </w:rPr>
        <w:t xml:space="preserve"> </w:t>
      </w:r>
      <w:r w:rsidR="005976F9" w:rsidRPr="005F6110">
        <w:rPr>
          <w:rFonts w:ascii="Times New Roman" w:hAnsi="Times New Roman" w:cs="Times New Roman"/>
          <w:sz w:val="20"/>
          <w:szCs w:val="20"/>
        </w:rPr>
        <w:t xml:space="preserve">lobbying power </w:t>
      </w:r>
      <w:r w:rsidR="000F189A" w:rsidRPr="005F6110">
        <w:rPr>
          <w:rFonts w:ascii="Times New Roman" w:hAnsi="Times New Roman" w:cs="Times New Roman"/>
          <w:sz w:val="20"/>
          <w:szCs w:val="20"/>
        </w:rPr>
        <w:t>of</w:t>
      </w:r>
      <w:r w:rsidR="004F785A" w:rsidRPr="005F6110">
        <w:rPr>
          <w:rFonts w:ascii="Times New Roman" w:hAnsi="Times New Roman" w:cs="Times New Roman"/>
          <w:sz w:val="20"/>
          <w:szCs w:val="20"/>
        </w:rPr>
        <w:t xml:space="preserve"> interest groups </w:t>
      </w:r>
      <w:r w:rsidR="004E066D" w:rsidRPr="005F6110">
        <w:rPr>
          <w:rFonts w:ascii="Times New Roman" w:hAnsi="Times New Roman" w:cs="Times New Roman"/>
          <w:sz w:val="20"/>
          <w:szCs w:val="20"/>
        </w:rPr>
        <w:t>on pub</w:t>
      </w:r>
      <w:r w:rsidR="00276199" w:rsidRPr="005F6110">
        <w:rPr>
          <w:rFonts w:ascii="Times New Roman" w:hAnsi="Times New Roman" w:cs="Times New Roman"/>
          <w:sz w:val="20"/>
          <w:szCs w:val="20"/>
        </w:rPr>
        <w:t>lic education spending</w:t>
      </w:r>
      <w:r w:rsidR="004E066D" w:rsidRPr="005F6110">
        <w:rPr>
          <w:rFonts w:ascii="Times New Roman" w:hAnsi="Times New Roman" w:cs="Times New Roman"/>
          <w:sz w:val="20"/>
          <w:szCs w:val="20"/>
        </w:rPr>
        <w:t xml:space="preserve">. </w:t>
      </w:r>
    </w:p>
    <w:p w14:paraId="430D6384" w14:textId="2F1C67C9" w:rsidR="00276199" w:rsidRPr="005F6110" w:rsidRDefault="004E066D"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 xml:space="preserve">The </w:t>
      </w:r>
      <w:r w:rsidR="00276199" w:rsidRPr="005F6110">
        <w:rPr>
          <w:rFonts w:ascii="Times New Roman" w:hAnsi="Times New Roman" w:cs="Times New Roman"/>
          <w:sz w:val="20"/>
          <w:szCs w:val="20"/>
        </w:rPr>
        <w:t xml:space="preserve">choice of </w:t>
      </w:r>
      <w:r w:rsidR="00113FC1" w:rsidRPr="005F6110">
        <w:rPr>
          <w:rFonts w:ascii="Times New Roman" w:hAnsi="Times New Roman" w:cs="Times New Roman"/>
          <w:sz w:val="20"/>
          <w:szCs w:val="20"/>
        </w:rPr>
        <w:t>the</w:t>
      </w:r>
      <w:r w:rsidR="00276199"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production </w:t>
      </w:r>
      <w:r w:rsidR="00113FC1" w:rsidRPr="005F6110">
        <w:rPr>
          <w:rFonts w:ascii="Times New Roman" w:hAnsi="Times New Roman" w:cs="Times New Roman"/>
          <w:sz w:val="20"/>
          <w:szCs w:val="20"/>
        </w:rPr>
        <w:t xml:space="preserve">sectors </w:t>
      </w:r>
      <w:r w:rsidRPr="005F6110">
        <w:rPr>
          <w:rFonts w:ascii="Times New Roman" w:hAnsi="Times New Roman" w:cs="Times New Roman"/>
          <w:sz w:val="20"/>
          <w:szCs w:val="20"/>
        </w:rPr>
        <w:t>and</w:t>
      </w:r>
      <w:r w:rsidR="004F785A" w:rsidRPr="005F6110">
        <w:rPr>
          <w:rFonts w:ascii="Times New Roman" w:hAnsi="Times New Roman" w:cs="Times New Roman"/>
          <w:sz w:val="20"/>
          <w:szCs w:val="20"/>
        </w:rPr>
        <w:t xml:space="preserve"> interest group </w:t>
      </w:r>
      <w:r w:rsidRPr="005F6110">
        <w:rPr>
          <w:rFonts w:ascii="Times New Roman" w:hAnsi="Times New Roman" w:cs="Times New Roman"/>
          <w:sz w:val="20"/>
          <w:szCs w:val="20"/>
        </w:rPr>
        <w:t xml:space="preserve">stratification </w:t>
      </w:r>
      <w:r w:rsidR="005976F9" w:rsidRPr="005F6110">
        <w:rPr>
          <w:rFonts w:ascii="Times New Roman" w:hAnsi="Times New Roman" w:cs="Times New Roman"/>
          <w:sz w:val="20"/>
          <w:szCs w:val="20"/>
        </w:rPr>
        <w:t>is</w:t>
      </w:r>
      <w:r w:rsidRPr="005F6110">
        <w:rPr>
          <w:rFonts w:ascii="Times New Roman" w:hAnsi="Times New Roman" w:cs="Times New Roman"/>
          <w:sz w:val="20"/>
          <w:szCs w:val="20"/>
        </w:rPr>
        <w:t xml:space="preserve"> based on the multi-sector, multi-class models in</w:t>
      </w:r>
      <w:r w:rsidR="00965E58" w:rsidRPr="005F6110">
        <w:rPr>
          <w:rFonts w:ascii="Times New Roman" w:hAnsi="Times New Roman" w:cs="Times New Roman"/>
          <w:sz w:val="20"/>
          <w:szCs w:val="20"/>
        </w:rPr>
        <w:t xml:space="preserve"> </w:t>
      </w:r>
      <w:r w:rsidRPr="005F6110">
        <w:rPr>
          <w:rFonts w:ascii="Times New Roman" w:hAnsi="Times New Roman" w:cs="Times New Roman"/>
          <w:sz w:val="20"/>
          <w:szCs w:val="20"/>
        </w:rPr>
        <w:t>Acemoglu and Robinson (2006</w:t>
      </w:r>
      <w:r w:rsidR="00965E58" w:rsidRPr="005F6110">
        <w:rPr>
          <w:rFonts w:ascii="Times New Roman" w:hAnsi="Times New Roman" w:cs="Times New Roman"/>
          <w:sz w:val="20"/>
          <w:szCs w:val="20"/>
        </w:rPr>
        <w:t>a, 2006b</w:t>
      </w:r>
      <w:r w:rsidRPr="005F6110">
        <w:rPr>
          <w:rFonts w:ascii="Times New Roman" w:hAnsi="Times New Roman" w:cs="Times New Roman"/>
          <w:sz w:val="20"/>
          <w:szCs w:val="20"/>
        </w:rPr>
        <w:t xml:space="preserve">), and </w:t>
      </w:r>
      <w:proofErr w:type="spellStart"/>
      <w:r w:rsidRPr="005F6110">
        <w:rPr>
          <w:rFonts w:ascii="Times New Roman" w:hAnsi="Times New Roman" w:cs="Times New Roman"/>
          <w:sz w:val="20"/>
          <w:szCs w:val="20"/>
        </w:rPr>
        <w:t>Galor</w:t>
      </w:r>
      <w:proofErr w:type="spellEnd"/>
      <w:r w:rsidRPr="005F6110">
        <w:rPr>
          <w:rFonts w:ascii="Times New Roman" w:hAnsi="Times New Roman" w:cs="Times New Roman"/>
          <w:sz w:val="20"/>
          <w:szCs w:val="20"/>
        </w:rPr>
        <w:t xml:space="preserve"> et al. (2</w:t>
      </w:r>
      <w:r w:rsidR="00276199" w:rsidRPr="005F6110">
        <w:rPr>
          <w:rFonts w:ascii="Times New Roman" w:hAnsi="Times New Roman" w:cs="Times New Roman"/>
          <w:sz w:val="20"/>
          <w:szCs w:val="20"/>
        </w:rPr>
        <w:t xml:space="preserve">009). </w:t>
      </w:r>
      <w:r w:rsidR="005976F9" w:rsidRPr="005F6110">
        <w:rPr>
          <w:rFonts w:ascii="Times New Roman" w:hAnsi="Times New Roman" w:cs="Times New Roman"/>
          <w:sz w:val="20"/>
          <w:szCs w:val="20"/>
        </w:rPr>
        <w:t xml:space="preserve">In this paper, </w:t>
      </w:r>
      <w:r w:rsidR="00276199" w:rsidRPr="005F6110">
        <w:rPr>
          <w:rFonts w:ascii="Times New Roman" w:hAnsi="Times New Roman" w:cs="Times New Roman"/>
          <w:sz w:val="20"/>
          <w:szCs w:val="20"/>
        </w:rPr>
        <w:t>we model three</w:t>
      </w:r>
      <w:r w:rsidRPr="005F6110">
        <w:rPr>
          <w:rFonts w:ascii="Times New Roman" w:hAnsi="Times New Roman" w:cs="Times New Roman"/>
          <w:sz w:val="20"/>
          <w:szCs w:val="20"/>
        </w:rPr>
        <w:t xml:space="preserve"> se</w:t>
      </w:r>
      <w:r w:rsidR="00276199" w:rsidRPr="005F6110">
        <w:rPr>
          <w:rFonts w:ascii="Times New Roman" w:hAnsi="Times New Roman" w:cs="Times New Roman"/>
          <w:sz w:val="20"/>
          <w:szCs w:val="20"/>
        </w:rPr>
        <w:t>ctors:</w:t>
      </w:r>
      <w:r w:rsidRPr="005F6110">
        <w:rPr>
          <w:rFonts w:ascii="Times New Roman" w:hAnsi="Times New Roman" w:cs="Times New Roman"/>
          <w:sz w:val="20"/>
          <w:szCs w:val="20"/>
        </w:rPr>
        <w:t xml:space="preserve"> the </w:t>
      </w:r>
      <w:r w:rsidR="00E82264" w:rsidRPr="005F6110">
        <w:rPr>
          <w:rFonts w:ascii="Times New Roman" w:hAnsi="Times New Roman" w:cs="Times New Roman"/>
          <w:sz w:val="20"/>
          <w:szCs w:val="20"/>
        </w:rPr>
        <w:t>n</w:t>
      </w:r>
      <w:r w:rsidR="00276199" w:rsidRPr="005F6110">
        <w:rPr>
          <w:rFonts w:ascii="Times New Roman" w:hAnsi="Times New Roman" w:cs="Times New Roman"/>
          <w:sz w:val="20"/>
          <w:szCs w:val="20"/>
        </w:rPr>
        <w:t>atural resource</w:t>
      </w:r>
      <w:r w:rsidRPr="005F6110">
        <w:rPr>
          <w:rFonts w:ascii="Times New Roman" w:hAnsi="Times New Roman" w:cs="Times New Roman"/>
          <w:sz w:val="20"/>
          <w:szCs w:val="20"/>
        </w:rPr>
        <w:t xml:space="preserve">, </w:t>
      </w:r>
      <w:r w:rsidR="00E82264" w:rsidRPr="005F6110">
        <w:rPr>
          <w:rFonts w:ascii="Times New Roman" w:hAnsi="Times New Roman" w:cs="Times New Roman"/>
          <w:sz w:val="20"/>
          <w:szCs w:val="20"/>
        </w:rPr>
        <w:t>m</w:t>
      </w:r>
      <w:r w:rsidRPr="005F6110">
        <w:rPr>
          <w:rFonts w:ascii="Times New Roman" w:hAnsi="Times New Roman" w:cs="Times New Roman"/>
          <w:sz w:val="20"/>
          <w:szCs w:val="20"/>
        </w:rPr>
        <w:t xml:space="preserve">anufacturing, and </w:t>
      </w:r>
      <w:r w:rsidR="00E82264" w:rsidRPr="005F6110">
        <w:rPr>
          <w:rFonts w:ascii="Times New Roman" w:hAnsi="Times New Roman" w:cs="Times New Roman"/>
          <w:sz w:val="20"/>
          <w:szCs w:val="20"/>
        </w:rPr>
        <w:t>a</w:t>
      </w:r>
      <w:r w:rsidR="00276199" w:rsidRPr="005F6110">
        <w:rPr>
          <w:rFonts w:ascii="Times New Roman" w:hAnsi="Times New Roman" w:cs="Times New Roman"/>
          <w:sz w:val="20"/>
          <w:szCs w:val="20"/>
        </w:rPr>
        <w:t>gricultur</w:t>
      </w:r>
      <w:r w:rsidR="00113FC1" w:rsidRPr="005F6110">
        <w:rPr>
          <w:rFonts w:ascii="Times New Roman" w:hAnsi="Times New Roman" w:cs="Times New Roman"/>
          <w:sz w:val="20"/>
          <w:szCs w:val="20"/>
        </w:rPr>
        <w:t>e</w:t>
      </w:r>
      <w:r w:rsidRPr="005F6110">
        <w:rPr>
          <w:rFonts w:ascii="Times New Roman" w:hAnsi="Times New Roman" w:cs="Times New Roman"/>
          <w:sz w:val="20"/>
          <w:szCs w:val="20"/>
        </w:rPr>
        <w:t xml:space="preserve"> sector</w:t>
      </w:r>
      <w:r w:rsidR="00276199" w:rsidRPr="005F6110">
        <w:rPr>
          <w:rFonts w:ascii="Times New Roman" w:hAnsi="Times New Roman" w:cs="Times New Roman"/>
          <w:sz w:val="20"/>
          <w:szCs w:val="20"/>
        </w:rPr>
        <w:t>s</w:t>
      </w:r>
      <w:r w:rsidRPr="005F6110">
        <w:rPr>
          <w:rFonts w:ascii="Times New Roman" w:hAnsi="Times New Roman" w:cs="Times New Roman"/>
          <w:sz w:val="20"/>
          <w:szCs w:val="20"/>
        </w:rPr>
        <w:t xml:space="preserve">. Hence, the </w:t>
      </w:r>
      <w:r w:rsidR="00113FC1" w:rsidRPr="005F6110">
        <w:rPr>
          <w:rFonts w:ascii="Times New Roman" w:hAnsi="Times New Roman" w:cs="Times New Roman"/>
          <w:sz w:val="20"/>
          <w:szCs w:val="20"/>
        </w:rPr>
        <w:t>three</w:t>
      </w:r>
      <w:r w:rsidR="004F785A" w:rsidRPr="005F6110">
        <w:rPr>
          <w:rFonts w:ascii="Times New Roman" w:hAnsi="Times New Roman" w:cs="Times New Roman"/>
          <w:sz w:val="20"/>
          <w:szCs w:val="20"/>
        </w:rPr>
        <w:t xml:space="preserve"> interest groups</w:t>
      </w:r>
      <w:r w:rsidR="002F07B7"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whose economic power and </w:t>
      </w:r>
      <w:r w:rsidR="00113FC1" w:rsidRPr="005F6110">
        <w:rPr>
          <w:rFonts w:ascii="Times New Roman" w:hAnsi="Times New Roman" w:cs="Times New Roman"/>
          <w:sz w:val="20"/>
          <w:szCs w:val="20"/>
        </w:rPr>
        <w:t xml:space="preserve">relative </w:t>
      </w:r>
      <w:r w:rsidRPr="005F6110">
        <w:rPr>
          <w:rFonts w:ascii="Times New Roman" w:hAnsi="Times New Roman" w:cs="Times New Roman"/>
          <w:sz w:val="20"/>
          <w:szCs w:val="20"/>
        </w:rPr>
        <w:t>political influence</w:t>
      </w:r>
      <w:r w:rsidR="00276199" w:rsidRPr="005F6110">
        <w:rPr>
          <w:rFonts w:ascii="Times New Roman" w:hAnsi="Times New Roman" w:cs="Times New Roman"/>
          <w:sz w:val="20"/>
          <w:szCs w:val="20"/>
        </w:rPr>
        <w:t xml:space="preserve"> on public education spending are</w:t>
      </w:r>
      <w:r w:rsidRPr="005F6110">
        <w:rPr>
          <w:rFonts w:ascii="Times New Roman" w:hAnsi="Times New Roman" w:cs="Times New Roman"/>
          <w:sz w:val="20"/>
          <w:szCs w:val="20"/>
        </w:rPr>
        <w:t xml:space="preserve"> investigated are the </w:t>
      </w:r>
      <w:r w:rsidR="00E82264" w:rsidRPr="005F6110">
        <w:rPr>
          <w:rFonts w:ascii="Times New Roman" w:hAnsi="Times New Roman" w:cs="Times New Roman"/>
          <w:sz w:val="20"/>
          <w:szCs w:val="20"/>
        </w:rPr>
        <w:t>n</w:t>
      </w:r>
      <w:r w:rsidRPr="005F6110">
        <w:rPr>
          <w:rFonts w:ascii="Times New Roman" w:hAnsi="Times New Roman" w:cs="Times New Roman"/>
          <w:sz w:val="20"/>
          <w:szCs w:val="20"/>
        </w:rPr>
        <w:t xml:space="preserve">atural resource owners, </w:t>
      </w:r>
      <w:r w:rsidR="00E82264" w:rsidRPr="005F6110">
        <w:rPr>
          <w:rFonts w:ascii="Times New Roman" w:hAnsi="Times New Roman" w:cs="Times New Roman"/>
          <w:sz w:val="20"/>
          <w:szCs w:val="20"/>
        </w:rPr>
        <w:t>m</w:t>
      </w:r>
      <w:r w:rsidRPr="005F6110">
        <w:rPr>
          <w:rFonts w:ascii="Times New Roman" w:hAnsi="Times New Roman" w:cs="Times New Roman"/>
          <w:sz w:val="20"/>
          <w:szCs w:val="20"/>
        </w:rPr>
        <w:t xml:space="preserve">anufacturers and </w:t>
      </w:r>
      <w:r w:rsidR="00E82264" w:rsidRPr="005F6110">
        <w:rPr>
          <w:rFonts w:ascii="Times New Roman" w:hAnsi="Times New Roman" w:cs="Times New Roman"/>
          <w:sz w:val="20"/>
          <w:szCs w:val="20"/>
        </w:rPr>
        <w:t>l</w:t>
      </w:r>
      <w:r w:rsidRPr="005F6110">
        <w:rPr>
          <w:rFonts w:ascii="Times New Roman" w:hAnsi="Times New Roman" w:cs="Times New Roman"/>
          <w:sz w:val="20"/>
          <w:szCs w:val="20"/>
        </w:rPr>
        <w:t>andowners.</w:t>
      </w:r>
      <w:r w:rsidR="00113FC1" w:rsidRPr="005F6110">
        <w:rPr>
          <w:rFonts w:ascii="Times New Roman" w:hAnsi="Times New Roman" w:cs="Times New Roman"/>
          <w:sz w:val="20"/>
          <w:szCs w:val="20"/>
        </w:rPr>
        <w:t xml:space="preserve"> In this paper we do not define workers as a separate</w:t>
      </w:r>
      <w:r w:rsidR="002F07B7" w:rsidRPr="005F6110">
        <w:rPr>
          <w:rFonts w:ascii="Times New Roman" w:hAnsi="Times New Roman" w:cs="Times New Roman"/>
          <w:sz w:val="20"/>
          <w:szCs w:val="20"/>
        </w:rPr>
        <w:t xml:space="preserve"> interest group </w:t>
      </w:r>
      <w:r w:rsidR="00113FC1" w:rsidRPr="005F6110">
        <w:rPr>
          <w:rFonts w:ascii="Times New Roman" w:hAnsi="Times New Roman" w:cs="Times New Roman"/>
          <w:sz w:val="20"/>
          <w:szCs w:val="20"/>
        </w:rPr>
        <w:t xml:space="preserve">assuming that the members of the three </w:t>
      </w:r>
      <w:r w:rsidR="002F07B7" w:rsidRPr="005F6110">
        <w:rPr>
          <w:rFonts w:ascii="Times New Roman" w:hAnsi="Times New Roman" w:cs="Times New Roman"/>
          <w:sz w:val="20"/>
          <w:szCs w:val="20"/>
        </w:rPr>
        <w:t xml:space="preserve">interest groups; natural resource owners, manufacturers, and landowners; </w:t>
      </w:r>
      <w:r w:rsidR="00113FC1" w:rsidRPr="005F6110">
        <w:rPr>
          <w:rFonts w:ascii="Times New Roman" w:hAnsi="Times New Roman" w:cs="Times New Roman"/>
          <w:sz w:val="20"/>
          <w:szCs w:val="20"/>
        </w:rPr>
        <w:t xml:space="preserve">  both work and own</w:t>
      </w:r>
      <w:r w:rsidR="002F07B7" w:rsidRPr="005F6110">
        <w:rPr>
          <w:rFonts w:ascii="Times New Roman" w:hAnsi="Times New Roman" w:cs="Times New Roman"/>
          <w:sz w:val="20"/>
          <w:szCs w:val="20"/>
        </w:rPr>
        <w:t xml:space="preserve"> </w:t>
      </w:r>
      <w:r w:rsidR="00113FC1" w:rsidRPr="005F6110">
        <w:rPr>
          <w:rFonts w:ascii="Times New Roman" w:hAnsi="Times New Roman" w:cs="Times New Roman"/>
          <w:sz w:val="20"/>
          <w:szCs w:val="20"/>
        </w:rPr>
        <w:t xml:space="preserve">factors of production in their </w:t>
      </w:r>
      <w:r w:rsidR="002F07B7" w:rsidRPr="005F6110">
        <w:rPr>
          <w:rFonts w:ascii="Times New Roman" w:hAnsi="Times New Roman" w:cs="Times New Roman"/>
          <w:sz w:val="20"/>
          <w:szCs w:val="20"/>
        </w:rPr>
        <w:t xml:space="preserve">corresponding </w:t>
      </w:r>
      <w:r w:rsidR="00113FC1" w:rsidRPr="005F6110">
        <w:rPr>
          <w:rFonts w:ascii="Times New Roman" w:hAnsi="Times New Roman" w:cs="Times New Roman"/>
          <w:sz w:val="20"/>
          <w:szCs w:val="20"/>
        </w:rPr>
        <w:t xml:space="preserve">sectors.    </w:t>
      </w:r>
      <w:r w:rsidRPr="005F6110">
        <w:rPr>
          <w:rFonts w:ascii="Times New Roman" w:hAnsi="Times New Roman" w:cs="Times New Roman"/>
          <w:sz w:val="20"/>
          <w:szCs w:val="20"/>
        </w:rPr>
        <w:t xml:space="preserve"> </w:t>
      </w:r>
    </w:p>
    <w:p w14:paraId="41B0959C" w14:textId="7A0EC72B" w:rsidR="004E066D" w:rsidRPr="005F6110" w:rsidRDefault="00EE006B"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Different</w:t>
      </w:r>
      <w:r w:rsidR="00276199" w:rsidRPr="005F6110">
        <w:rPr>
          <w:rFonts w:ascii="Times New Roman" w:hAnsi="Times New Roman" w:cs="Times New Roman"/>
          <w:sz w:val="20"/>
          <w:szCs w:val="20"/>
        </w:rPr>
        <w:t xml:space="preserve"> aspects of the link between economic sectors and growth have been </w:t>
      </w:r>
      <w:r w:rsidR="004E066D" w:rsidRPr="005F6110">
        <w:rPr>
          <w:rFonts w:ascii="Times New Roman" w:hAnsi="Times New Roman" w:cs="Times New Roman"/>
          <w:sz w:val="20"/>
          <w:szCs w:val="20"/>
        </w:rPr>
        <w:t>analyzed in detail in the literature. Matsuyama (1992) examines the relationship between agricultural productivity and economic growth in a two-sector model, and argues that agricultural productivity has a positive effect on economic growth in a closed economy, but in the case of a small open economy there is a negative relationship between agricultural productivity and econom</w:t>
      </w:r>
      <w:r w:rsidR="00276199" w:rsidRPr="005F6110">
        <w:rPr>
          <w:rFonts w:ascii="Times New Roman" w:hAnsi="Times New Roman" w:cs="Times New Roman"/>
          <w:sz w:val="20"/>
          <w:szCs w:val="20"/>
        </w:rPr>
        <w:t>ic growth. In his model</w:t>
      </w:r>
      <w:r w:rsidR="004E066D" w:rsidRPr="005F6110">
        <w:rPr>
          <w:rFonts w:ascii="Times New Roman" w:hAnsi="Times New Roman" w:cs="Times New Roman"/>
          <w:sz w:val="20"/>
          <w:szCs w:val="20"/>
        </w:rPr>
        <w:t xml:space="preserve">, he does not </w:t>
      </w:r>
      <w:r w:rsidR="00276199" w:rsidRPr="005F6110">
        <w:rPr>
          <w:rFonts w:ascii="Times New Roman" w:hAnsi="Times New Roman" w:cs="Times New Roman"/>
          <w:sz w:val="20"/>
          <w:szCs w:val="20"/>
        </w:rPr>
        <w:t>differentiate</w:t>
      </w:r>
      <w:r w:rsidR="004E066D" w:rsidRPr="005F6110">
        <w:rPr>
          <w:rFonts w:ascii="Times New Roman" w:hAnsi="Times New Roman" w:cs="Times New Roman"/>
          <w:sz w:val="20"/>
          <w:szCs w:val="20"/>
        </w:rPr>
        <w:t xml:space="preserve"> between an agriculture sector and a natural resource sector. Lagerlof and </w:t>
      </w:r>
      <w:proofErr w:type="spellStart"/>
      <w:r w:rsidR="004E066D" w:rsidRPr="005F6110">
        <w:rPr>
          <w:rFonts w:ascii="Times New Roman" w:hAnsi="Times New Roman" w:cs="Times New Roman"/>
          <w:sz w:val="20"/>
          <w:szCs w:val="20"/>
        </w:rPr>
        <w:t>Tangeras</w:t>
      </w:r>
      <w:proofErr w:type="spellEnd"/>
      <w:r w:rsidR="004E066D" w:rsidRPr="005F6110">
        <w:rPr>
          <w:rFonts w:ascii="Times New Roman" w:hAnsi="Times New Roman" w:cs="Times New Roman"/>
          <w:sz w:val="20"/>
          <w:szCs w:val="20"/>
        </w:rPr>
        <w:t xml:space="preserve"> (2008) analyze the trade-off between rent seeking activities</w:t>
      </w:r>
      <w:r w:rsidR="005976F9" w:rsidRPr="005F6110">
        <w:rPr>
          <w:rFonts w:ascii="Times New Roman" w:hAnsi="Times New Roman" w:cs="Times New Roman"/>
          <w:sz w:val="20"/>
          <w:szCs w:val="20"/>
        </w:rPr>
        <w:t xml:space="preserve">, </w:t>
      </w:r>
      <w:r w:rsidR="004E066D" w:rsidRPr="005F6110">
        <w:rPr>
          <w:rFonts w:ascii="Times New Roman" w:hAnsi="Times New Roman" w:cs="Times New Roman"/>
          <w:sz w:val="20"/>
          <w:szCs w:val="20"/>
        </w:rPr>
        <w:t>such as resource competition or land conquest</w:t>
      </w:r>
      <w:r w:rsidR="005976F9" w:rsidRPr="005F6110">
        <w:rPr>
          <w:rFonts w:ascii="Times New Roman" w:hAnsi="Times New Roman" w:cs="Times New Roman"/>
          <w:sz w:val="20"/>
          <w:szCs w:val="20"/>
        </w:rPr>
        <w:t xml:space="preserve">, </w:t>
      </w:r>
      <w:r w:rsidR="004E066D" w:rsidRPr="005F6110">
        <w:rPr>
          <w:rFonts w:ascii="Times New Roman" w:hAnsi="Times New Roman" w:cs="Times New Roman"/>
          <w:sz w:val="20"/>
          <w:szCs w:val="20"/>
        </w:rPr>
        <w:t>and productive activities</w:t>
      </w:r>
      <w:r w:rsidR="005976F9" w:rsidRPr="005F6110">
        <w:rPr>
          <w:rFonts w:ascii="Times New Roman" w:hAnsi="Times New Roman" w:cs="Times New Roman"/>
          <w:sz w:val="20"/>
          <w:szCs w:val="20"/>
        </w:rPr>
        <w:t xml:space="preserve">, </w:t>
      </w:r>
      <w:r w:rsidR="00276199" w:rsidRPr="005F6110">
        <w:rPr>
          <w:rFonts w:ascii="Times New Roman" w:hAnsi="Times New Roman" w:cs="Times New Roman"/>
          <w:sz w:val="20"/>
          <w:szCs w:val="20"/>
        </w:rPr>
        <w:t>such as trade or manufacturing</w:t>
      </w:r>
      <w:r w:rsidR="005976F9" w:rsidRPr="005F6110">
        <w:rPr>
          <w:rFonts w:ascii="Times New Roman" w:hAnsi="Times New Roman" w:cs="Times New Roman"/>
          <w:sz w:val="20"/>
          <w:szCs w:val="20"/>
        </w:rPr>
        <w:t>,</w:t>
      </w:r>
      <w:r w:rsidR="00276199" w:rsidRPr="005F6110">
        <w:rPr>
          <w:rFonts w:ascii="Times New Roman" w:hAnsi="Times New Roman" w:cs="Times New Roman"/>
          <w:sz w:val="20"/>
          <w:szCs w:val="20"/>
        </w:rPr>
        <w:t xml:space="preserve"> </w:t>
      </w:r>
      <w:r w:rsidR="004E066D" w:rsidRPr="005F6110">
        <w:rPr>
          <w:rFonts w:ascii="Times New Roman" w:hAnsi="Times New Roman" w:cs="Times New Roman"/>
          <w:sz w:val="20"/>
          <w:szCs w:val="20"/>
        </w:rPr>
        <w:t>which use human capital as a factor of production</w:t>
      </w:r>
      <w:r w:rsidR="005976F9" w:rsidRPr="005F6110">
        <w:rPr>
          <w:rFonts w:ascii="Times New Roman" w:hAnsi="Times New Roman" w:cs="Times New Roman"/>
          <w:sz w:val="20"/>
          <w:szCs w:val="20"/>
        </w:rPr>
        <w:t>.</w:t>
      </w:r>
      <w:r w:rsidR="00276199" w:rsidRPr="005F6110">
        <w:rPr>
          <w:rFonts w:ascii="Times New Roman" w:hAnsi="Times New Roman" w:cs="Times New Roman"/>
          <w:sz w:val="20"/>
          <w:szCs w:val="20"/>
        </w:rPr>
        <w:t xml:space="preserve"> </w:t>
      </w:r>
      <w:r w:rsidR="005976F9" w:rsidRPr="005F6110">
        <w:rPr>
          <w:rFonts w:ascii="Times New Roman" w:hAnsi="Times New Roman" w:cs="Times New Roman"/>
          <w:sz w:val="20"/>
          <w:szCs w:val="20"/>
        </w:rPr>
        <w:t xml:space="preserve">They </w:t>
      </w:r>
      <w:r w:rsidR="00276199" w:rsidRPr="005F6110">
        <w:rPr>
          <w:rFonts w:ascii="Times New Roman" w:hAnsi="Times New Roman" w:cs="Times New Roman"/>
          <w:sz w:val="20"/>
          <w:szCs w:val="20"/>
        </w:rPr>
        <w:t xml:space="preserve">show that </w:t>
      </w:r>
      <w:r w:rsidR="00DD106E" w:rsidRPr="005F6110">
        <w:rPr>
          <w:rFonts w:ascii="Times New Roman" w:hAnsi="Times New Roman" w:cs="Times New Roman"/>
          <w:sz w:val="20"/>
          <w:szCs w:val="20"/>
        </w:rPr>
        <w:t xml:space="preserve">a rise </w:t>
      </w:r>
      <w:r w:rsidR="00276199" w:rsidRPr="005F6110">
        <w:rPr>
          <w:rFonts w:ascii="Times New Roman" w:hAnsi="Times New Roman" w:cs="Times New Roman"/>
          <w:sz w:val="20"/>
          <w:szCs w:val="20"/>
        </w:rPr>
        <w:t xml:space="preserve">in the availability of </w:t>
      </w:r>
      <w:r w:rsidR="004E066D" w:rsidRPr="005F6110">
        <w:rPr>
          <w:rFonts w:ascii="Times New Roman" w:hAnsi="Times New Roman" w:cs="Times New Roman"/>
          <w:sz w:val="20"/>
          <w:szCs w:val="20"/>
        </w:rPr>
        <w:t>natural resources increases rent seeking activities and reduces human capital productivity, and is h</w:t>
      </w:r>
      <w:r w:rsidR="00276199" w:rsidRPr="005F6110">
        <w:rPr>
          <w:rFonts w:ascii="Times New Roman" w:hAnsi="Times New Roman" w:cs="Times New Roman"/>
          <w:sz w:val="20"/>
          <w:szCs w:val="20"/>
        </w:rPr>
        <w:t xml:space="preserve">armful for economic growth </w:t>
      </w:r>
      <w:r w:rsidR="004E066D" w:rsidRPr="005F6110">
        <w:rPr>
          <w:rFonts w:ascii="Times New Roman" w:hAnsi="Times New Roman" w:cs="Times New Roman"/>
          <w:sz w:val="20"/>
          <w:szCs w:val="20"/>
        </w:rPr>
        <w:t>in the</w:t>
      </w:r>
      <w:r w:rsidR="00DD106E" w:rsidRPr="005F6110">
        <w:rPr>
          <w:rFonts w:ascii="Times New Roman" w:hAnsi="Times New Roman" w:cs="Times New Roman"/>
          <w:sz w:val="20"/>
          <w:szCs w:val="20"/>
        </w:rPr>
        <w:t xml:space="preserve"> crucial</w:t>
      </w:r>
      <w:r w:rsidR="00276199" w:rsidRPr="005F6110">
        <w:rPr>
          <w:rFonts w:ascii="Times New Roman" w:hAnsi="Times New Roman" w:cs="Times New Roman"/>
          <w:sz w:val="20"/>
          <w:szCs w:val="20"/>
        </w:rPr>
        <w:t xml:space="preserve"> takeoff period. </w:t>
      </w:r>
      <w:r w:rsidR="004E066D" w:rsidRPr="005F6110">
        <w:rPr>
          <w:rFonts w:ascii="Times New Roman" w:hAnsi="Times New Roman" w:cs="Times New Roman"/>
          <w:sz w:val="20"/>
          <w:szCs w:val="20"/>
        </w:rPr>
        <w:t xml:space="preserve">Bourguignon and </w:t>
      </w:r>
      <w:proofErr w:type="spellStart"/>
      <w:r w:rsidR="004E066D" w:rsidRPr="005F6110">
        <w:rPr>
          <w:rFonts w:ascii="Times New Roman" w:hAnsi="Times New Roman" w:cs="Times New Roman"/>
          <w:sz w:val="20"/>
          <w:szCs w:val="20"/>
        </w:rPr>
        <w:t>Verdier</w:t>
      </w:r>
      <w:proofErr w:type="spellEnd"/>
      <w:r w:rsidR="004E066D" w:rsidRPr="005F6110">
        <w:rPr>
          <w:rFonts w:ascii="Times New Roman" w:hAnsi="Times New Roman" w:cs="Times New Roman"/>
          <w:sz w:val="20"/>
          <w:szCs w:val="20"/>
        </w:rPr>
        <w:t xml:space="preserve"> (2000) explore in a political economy model the conditions under which the educated </w:t>
      </w:r>
      <w:r w:rsidR="00276199" w:rsidRPr="005F6110">
        <w:rPr>
          <w:rFonts w:ascii="Times New Roman" w:hAnsi="Times New Roman" w:cs="Times New Roman"/>
          <w:sz w:val="20"/>
          <w:szCs w:val="20"/>
        </w:rPr>
        <w:t>oligarchy chooses to invest in the education of the poor</w:t>
      </w:r>
      <w:r w:rsidR="00DD106E" w:rsidRPr="005F6110">
        <w:rPr>
          <w:rFonts w:ascii="Times New Roman" w:hAnsi="Times New Roman" w:cs="Times New Roman"/>
          <w:sz w:val="20"/>
          <w:szCs w:val="20"/>
        </w:rPr>
        <w:t>,</w:t>
      </w:r>
      <w:r w:rsidR="004E066D" w:rsidRPr="005F6110">
        <w:rPr>
          <w:rFonts w:ascii="Times New Roman" w:hAnsi="Times New Roman" w:cs="Times New Roman"/>
          <w:sz w:val="20"/>
          <w:szCs w:val="20"/>
        </w:rPr>
        <w:t xml:space="preserve"> and so initiate</w:t>
      </w:r>
      <w:r w:rsidR="005976F9" w:rsidRPr="005F6110">
        <w:rPr>
          <w:rFonts w:ascii="Times New Roman" w:hAnsi="Times New Roman" w:cs="Times New Roman"/>
          <w:sz w:val="20"/>
          <w:szCs w:val="20"/>
        </w:rPr>
        <w:t>s</w:t>
      </w:r>
      <w:r w:rsidR="004E066D" w:rsidRPr="005F6110">
        <w:rPr>
          <w:rFonts w:ascii="Times New Roman" w:hAnsi="Times New Roman" w:cs="Times New Roman"/>
          <w:sz w:val="20"/>
          <w:szCs w:val="20"/>
        </w:rPr>
        <w:t xml:space="preserve"> a transition to democracy by integrating the educated poor into the political participation process. </w:t>
      </w:r>
    </w:p>
    <w:p w14:paraId="2E685B36" w14:textId="1B2A589C" w:rsidR="004E066D" w:rsidRPr="005F6110" w:rsidRDefault="006B447F"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 xml:space="preserve">Empirical studies on the </w:t>
      </w:r>
      <w:r w:rsidR="00FD4E9A" w:rsidRPr="005F6110">
        <w:rPr>
          <w:rFonts w:ascii="Times New Roman" w:hAnsi="Times New Roman" w:cs="Times New Roman"/>
          <w:sz w:val="20"/>
          <w:szCs w:val="20"/>
        </w:rPr>
        <w:t>determinants of public education spending</w:t>
      </w:r>
      <w:r w:rsidR="002F07B7" w:rsidRPr="005F6110">
        <w:rPr>
          <w:rFonts w:ascii="Times New Roman" w:hAnsi="Times New Roman" w:cs="Times New Roman"/>
          <w:sz w:val="20"/>
          <w:szCs w:val="20"/>
        </w:rPr>
        <w:t xml:space="preserve"> highlight various aspects. </w:t>
      </w:r>
      <w:r w:rsidRPr="005F6110">
        <w:rPr>
          <w:rFonts w:ascii="Times New Roman" w:hAnsi="Times New Roman" w:cs="Times New Roman"/>
          <w:sz w:val="20"/>
          <w:szCs w:val="20"/>
        </w:rPr>
        <w:t>Busemeyer</w:t>
      </w:r>
      <w:r w:rsidR="002F07B7" w:rsidRPr="005F6110">
        <w:rPr>
          <w:rFonts w:ascii="Times New Roman" w:hAnsi="Times New Roman" w:cs="Times New Roman"/>
          <w:sz w:val="20"/>
          <w:szCs w:val="20"/>
        </w:rPr>
        <w:t xml:space="preserve"> </w:t>
      </w:r>
      <w:r w:rsidRPr="005F6110">
        <w:rPr>
          <w:rFonts w:ascii="Times New Roman" w:hAnsi="Times New Roman" w:cs="Times New Roman"/>
          <w:sz w:val="20"/>
          <w:szCs w:val="20"/>
        </w:rPr>
        <w:t>(2007)</w:t>
      </w:r>
      <w:r w:rsidR="002F07B7" w:rsidRPr="005F6110">
        <w:rPr>
          <w:rFonts w:ascii="Times New Roman" w:hAnsi="Times New Roman" w:cs="Times New Roman"/>
          <w:sz w:val="20"/>
          <w:szCs w:val="20"/>
        </w:rPr>
        <w:t xml:space="preserve"> </w:t>
      </w:r>
      <w:r w:rsidRPr="005F6110">
        <w:rPr>
          <w:rFonts w:ascii="Times New Roman" w:hAnsi="Times New Roman" w:cs="Times New Roman"/>
          <w:sz w:val="20"/>
          <w:szCs w:val="20"/>
        </w:rPr>
        <w:t>examine</w:t>
      </w:r>
      <w:r w:rsidR="002F07B7" w:rsidRPr="005F6110">
        <w:rPr>
          <w:rFonts w:ascii="Times New Roman" w:hAnsi="Times New Roman" w:cs="Times New Roman"/>
          <w:sz w:val="20"/>
          <w:szCs w:val="20"/>
        </w:rPr>
        <w:t xml:space="preserve">s </w:t>
      </w:r>
      <w:r w:rsidR="004E066D" w:rsidRPr="005F6110">
        <w:rPr>
          <w:rFonts w:ascii="Times New Roman" w:hAnsi="Times New Roman" w:cs="Times New Roman"/>
          <w:sz w:val="20"/>
          <w:szCs w:val="20"/>
        </w:rPr>
        <w:t>the determinants of public education spending in 21 OECD countries in a pooled time-series an</w:t>
      </w:r>
      <w:r w:rsidRPr="005F6110">
        <w:rPr>
          <w:rFonts w:ascii="Times New Roman" w:hAnsi="Times New Roman" w:cs="Times New Roman"/>
          <w:sz w:val="20"/>
          <w:szCs w:val="20"/>
        </w:rPr>
        <w:t>alysis. The control variables used</w:t>
      </w:r>
      <w:r w:rsidR="004E066D" w:rsidRPr="005F6110">
        <w:rPr>
          <w:rFonts w:ascii="Times New Roman" w:hAnsi="Times New Roman" w:cs="Times New Roman"/>
          <w:sz w:val="20"/>
          <w:szCs w:val="20"/>
        </w:rPr>
        <w:t xml:space="preserve"> include the degree of tax revenue decentralization, veto index, and cabinet shares of social democrats, Christian democrats</w:t>
      </w:r>
      <w:r w:rsidRPr="005F6110">
        <w:rPr>
          <w:rFonts w:ascii="Times New Roman" w:hAnsi="Times New Roman" w:cs="Times New Roman"/>
          <w:sz w:val="20"/>
          <w:szCs w:val="20"/>
        </w:rPr>
        <w:t>,</w:t>
      </w:r>
      <w:r w:rsidR="004E066D" w:rsidRPr="005F6110">
        <w:rPr>
          <w:rFonts w:ascii="Times New Roman" w:hAnsi="Times New Roman" w:cs="Times New Roman"/>
          <w:sz w:val="20"/>
          <w:szCs w:val="20"/>
        </w:rPr>
        <w:t xml:space="preserve"> and</w:t>
      </w:r>
      <w:r w:rsidRPr="005F6110">
        <w:rPr>
          <w:rFonts w:ascii="Times New Roman" w:hAnsi="Times New Roman" w:cs="Times New Roman"/>
          <w:sz w:val="20"/>
          <w:szCs w:val="20"/>
        </w:rPr>
        <w:t xml:space="preserve"> conservatives. In a study</w:t>
      </w:r>
      <w:r w:rsidR="004E066D" w:rsidRPr="005F6110">
        <w:rPr>
          <w:rFonts w:ascii="Times New Roman" w:hAnsi="Times New Roman" w:cs="Times New Roman"/>
          <w:sz w:val="20"/>
          <w:szCs w:val="20"/>
        </w:rPr>
        <w:t xml:space="preserve"> of the determinants of public education spending in the US states</w:t>
      </w:r>
      <w:r w:rsidRPr="005F6110">
        <w:rPr>
          <w:rFonts w:ascii="Times New Roman" w:hAnsi="Times New Roman" w:cs="Times New Roman"/>
          <w:sz w:val="20"/>
          <w:szCs w:val="20"/>
        </w:rPr>
        <w:t>,</w:t>
      </w:r>
      <w:r w:rsidR="004E066D" w:rsidRPr="005F6110">
        <w:rPr>
          <w:rFonts w:ascii="Times New Roman" w:hAnsi="Times New Roman" w:cs="Times New Roman"/>
          <w:sz w:val="20"/>
          <w:szCs w:val="20"/>
        </w:rPr>
        <w:t xml:space="preserve"> Poterba (1997) highlights the importance of the effect of demographic composition on the level of p</w:t>
      </w:r>
      <w:r w:rsidRPr="005F6110">
        <w:rPr>
          <w:rFonts w:ascii="Times New Roman" w:hAnsi="Times New Roman" w:cs="Times New Roman"/>
          <w:sz w:val="20"/>
          <w:szCs w:val="20"/>
        </w:rPr>
        <w:t>er-child education spending</w:t>
      </w:r>
      <w:r w:rsidR="00FD4E9A" w:rsidRPr="005F6110">
        <w:rPr>
          <w:rFonts w:ascii="Times New Roman" w:hAnsi="Times New Roman" w:cs="Times New Roman"/>
          <w:sz w:val="20"/>
          <w:szCs w:val="20"/>
        </w:rPr>
        <w:t>.</w:t>
      </w:r>
      <w:r w:rsidRPr="005F6110">
        <w:rPr>
          <w:rFonts w:ascii="Times New Roman" w:hAnsi="Times New Roman" w:cs="Times New Roman"/>
          <w:sz w:val="20"/>
          <w:szCs w:val="20"/>
        </w:rPr>
        <w:t xml:space="preserve"> </w:t>
      </w:r>
    </w:p>
    <w:p w14:paraId="6DF7762A" w14:textId="57DCB068" w:rsidR="004E066D" w:rsidRDefault="006B447F" w:rsidP="005F6110">
      <w:pPr>
        <w:spacing w:after="120" w:line="240" w:lineRule="auto"/>
        <w:ind w:left="-578"/>
        <w:jc w:val="both"/>
        <w:rPr>
          <w:rFonts w:ascii="Times New Roman" w:hAnsi="Times New Roman" w:cs="Times New Roman"/>
          <w:b/>
          <w:sz w:val="20"/>
          <w:szCs w:val="20"/>
        </w:rPr>
      </w:pPr>
      <w:r w:rsidRPr="005F6110">
        <w:rPr>
          <w:rFonts w:ascii="Times New Roman" w:hAnsi="Times New Roman" w:cs="Times New Roman"/>
          <w:sz w:val="20"/>
          <w:szCs w:val="20"/>
        </w:rPr>
        <w:t>T</w:t>
      </w:r>
      <w:r w:rsidR="004E066D" w:rsidRPr="005F6110">
        <w:rPr>
          <w:rFonts w:ascii="Times New Roman" w:hAnsi="Times New Roman" w:cs="Times New Roman"/>
          <w:sz w:val="20"/>
          <w:szCs w:val="20"/>
        </w:rPr>
        <w:t>he main results</w:t>
      </w:r>
      <w:r w:rsidRPr="005F6110">
        <w:rPr>
          <w:rFonts w:ascii="Times New Roman" w:hAnsi="Times New Roman" w:cs="Times New Roman"/>
          <w:sz w:val="20"/>
          <w:szCs w:val="20"/>
        </w:rPr>
        <w:t xml:space="preserve"> we obtain in what follows are that the </w:t>
      </w:r>
      <w:r w:rsidR="005976F9" w:rsidRPr="005F6110">
        <w:rPr>
          <w:rFonts w:ascii="Times New Roman" w:hAnsi="Times New Roman" w:cs="Times New Roman"/>
          <w:sz w:val="20"/>
          <w:szCs w:val="20"/>
        </w:rPr>
        <w:t xml:space="preserve">lobbying power </w:t>
      </w:r>
      <w:r w:rsidR="004E066D" w:rsidRPr="005F6110">
        <w:rPr>
          <w:rFonts w:ascii="Times New Roman" w:hAnsi="Times New Roman" w:cs="Times New Roman"/>
          <w:sz w:val="20"/>
          <w:szCs w:val="20"/>
        </w:rPr>
        <w:t xml:space="preserve">of </w:t>
      </w:r>
      <w:r w:rsidR="00E82264" w:rsidRPr="005F6110">
        <w:rPr>
          <w:rFonts w:ascii="Times New Roman" w:hAnsi="Times New Roman" w:cs="Times New Roman"/>
          <w:sz w:val="20"/>
          <w:szCs w:val="20"/>
        </w:rPr>
        <w:t>n</w:t>
      </w:r>
      <w:r w:rsidR="004E066D" w:rsidRPr="005F6110">
        <w:rPr>
          <w:rFonts w:ascii="Times New Roman" w:hAnsi="Times New Roman" w:cs="Times New Roman"/>
          <w:sz w:val="20"/>
          <w:szCs w:val="20"/>
        </w:rPr>
        <w:t xml:space="preserve">atural resource owners and </w:t>
      </w:r>
      <w:r w:rsidR="00E82264" w:rsidRPr="005F6110">
        <w:rPr>
          <w:rFonts w:ascii="Times New Roman" w:hAnsi="Times New Roman" w:cs="Times New Roman"/>
          <w:sz w:val="20"/>
          <w:szCs w:val="20"/>
        </w:rPr>
        <w:t>l</w:t>
      </w:r>
      <w:r w:rsidR="004E066D" w:rsidRPr="005F6110">
        <w:rPr>
          <w:rFonts w:ascii="Times New Roman" w:hAnsi="Times New Roman" w:cs="Times New Roman"/>
          <w:sz w:val="20"/>
          <w:szCs w:val="20"/>
        </w:rPr>
        <w:t>andown</w:t>
      </w:r>
      <w:r w:rsidRPr="005F6110">
        <w:rPr>
          <w:rFonts w:ascii="Times New Roman" w:hAnsi="Times New Roman" w:cs="Times New Roman"/>
          <w:sz w:val="20"/>
          <w:szCs w:val="20"/>
        </w:rPr>
        <w:t>ers has</w:t>
      </w:r>
      <w:r w:rsidR="004E066D" w:rsidRPr="005F6110">
        <w:rPr>
          <w:rFonts w:ascii="Times New Roman" w:hAnsi="Times New Roman" w:cs="Times New Roman"/>
          <w:sz w:val="20"/>
          <w:szCs w:val="20"/>
        </w:rPr>
        <w:t xml:space="preserve"> </w:t>
      </w:r>
      <w:r w:rsidRPr="005F6110">
        <w:rPr>
          <w:rFonts w:ascii="Times New Roman" w:hAnsi="Times New Roman" w:cs="Times New Roman"/>
          <w:sz w:val="20"/>
          <w:szCs w:val="20"/>
        </w:rPr>
        <w:t>a direct negative effect</w:t>
      </w:r>
      <w:r w:rsidR="004E066D" w:rsidRPr="005F6110">
        <w:rPr>
          <w:rFonts w:ascii="Times New Roman" w:hAnsi="Times New Roman" w:cs="Times New Roman"/>
          <w:sz w:val="20"/>
          <w:szCs w:val="20"/>
        </w:rPr>
        <w:t xml:space="preserve"> on public education spending, whereas the</w:t>
      </w:r>
      <w:r w:rsidR="005976F9" w:rsidRPr="005F6110">
        <w:rPr>
          <w:rFonts w:ascii="Times New Roman" w:hAnsi="Times New Roman" w:cs="Times New Roman"/>
          <w:sz w:val="20"/>
          <w:szCs w:val="20"/>
        </w:rPr>
        <w:t xml:space="preserve"> lobbying power </w:t>
      </w:r>
      <w:r w:rsidR="004E066D" w:rsidRPr="005F6110">
        <w:rPr>
          <w:rFonts w:ascii="Times New Roman" w:hAnsi="Times New Roman" w:cs="Times New Roman"/>
          <w:sz w:val="20"/>
          <w:szCs w:val="20"/>
        </w:rPr>
        <w:t xml:space="preserve">of </w:t>
      </w:r>
      <w:r w:rsidR="00E82264" w:rsidRPr="005F6110">
        <w:rPr>
          <w:rFonts w:ascii="Times New Roman" w:hAnsi="Times New Roman" w:cs="Times New Roman"/>
          <w:sz w:val="20"/>
          <w:szCs w:val="20"/>
        </w:rPr>
        <w:t>m</w:t>
      </w:r>
      <w:r w:rsidRPr="005F6110">
        <w:rPr>
          <w:rFonts w:ascii="Times New Roman" w:hAnsi="Times New Roman" w:cs="Times New Roman"/>
          <w:sz w:val="20"/>
          <w:szCs w:val="20"/>
        </w:rPr>
        <w:t>anufacturers exerts a positive one</w:t>
      </w:r>
      <w:r w:rsidR="004E066D" w:rsidRPr="005F6110">
        <w:rPr>
          <w:rFonts w:ascii="Times New Roman" w:hAnsi="Times New Roman" w:cs="Times New Roman"/>
          <w:sz w:val="20"/>
          <w:szCs w:val="20"/>
        </w:rPr>
        <w:t>. Moreover, the quality of different dimensions of governance and institutions plays a significant role in determinin</w:t>
      </w:r>
      <w:r w:rsidRPr="005F6110">
        <w:rPr>
          <w:rFonts w:ascii="Times New Roman" w:hAnsi="Times New Roman" w:cs="Times New Roman"/>
          <w:sz w:val="20"/>
          <w:szCs w:val="20"/>
        </w:rPr>
        <w:t>g the overall net effect</w:t>
      </w:r>
      <w:r w:rsidR="004E066D" w:rsidRPr="005F6110">
        <w:rPr>
          <w:rFonts w:ascii="Times New Roman" w:hAnsi="Times New Roman" w:cs="Times New Roman"/>
          <w:sz w:val="20"/>
          <w:szCs w:val="20"/>
        </w:rPr>
        <w:t xml:space="preserve"> of the </w:t>
      </w:r>
      <w:r w:rsidR="005976F9" w:rsidRPr="005F6110">
        <w:rPr>
          <w:rFonts w:ascii="Times New Roman" w:hAnsi="Times New Roman" w:cs="Times New Roman"/>
          <w:sz w:val="20"/>
          <w:szCs w:val="20"/>
        </w:rPr>
        <w:t xml:space="preserve">lobbying power </w:t>
      </w:r>
      <w:r w:rsidRPr="005F6110">
        <w:rPr>
          <w:rFonts w:ascii="Times New Roman" w:hAnsi="Times New Roman" w:cs="Times New Roman"/>
          <w:sz w:val="20"/>
          <w:szCs w:val="20"/>
        </w:rPr>
        <w:t>of different</w:t>
      </w:r>
      <w:r w:rsidR="002F07B7" w:rsidRPr="005F6110">
        <w:rPr>
          <w:rFonts w:ascii="Times New Roman" w:hAnsi="Times New Roman" w:cs="Times New Roman"/>
          <w:sz w:val="20"/>
          <w:szCs w:val="20"/>
        </w:rPr>
        <w:t xml:space="preserve"> interest groups</w:t>
      </w:r>
      <w:r w:rsidR="000E65C2" w:rsidRPr="005F6110">
        <w:rPr>
          <w:rFonts w:ascii="Times New Roman" w:hAnsi="Times New Roman" w:cs="Times New Roman"/>
          <w:sz w:val="20"/>
          <w:szCs w:val="20"/>
        </w:rPr>
        <w:t xml:space="preserve"> </w:t>
      </w:r>
      <w:r w:rsidR="004E066D" w:rsidRPr="005F6110">
        <w:rPr>
          <w:rFonts w:ascii="Times New Roman" w:hAnsi="Times New Roman" w:cs="Times New Roman"/>
          <w:sz w:val="20"/>
          <w:szCs w:val="20"/>
        </w:rPr>
        <w:t xml:space="preserve">on public education spending. The rest of the paper is organized as follows. Section </w:t>
      </w:r>
      <w:r w:rsidR="00387E7E" w:rsidRPr="005F6110">
        <w:rPr>
          <w:rFonts w:ascii="Times New Roman" w:hAnsi="Times New Roman" w:cs="Times New Roman"/>
          <w:sz w:val="20"/>
          <w:szCs w:val="20"/>
        </w:rPr>
        <w:t>2</w:t>
      </w:r>
      <w:r w:rsidR="004E066D" w:rsidRPr="005F6110">
        <w:rPr>
          <w:rFonts w:ascii="Times New Roman" w:hAnsi="Times New Roman" w:cs="Times New Roman"/>
          <w:sz w:val="20"/>
          <w:szCs w:val="20"/>
        </w:rPr>
        <w:t xml:space="preserve"> describes the data set and the econometric strategy. Section </w:t>
      </w:r>
      <w:r w:rsidR="00387E7E" w:rsidRPr="005F6110">
        <w:rPr>
          <w:rFonts w:ascii="Times New Roman" w:hAnsi="Times New Roman" w:cs="Times New Roman"/>
          <w:sz w:val="20"/>
          <w:szCs w:val="20"/>
        </w:rPr>
        <w:t>3</w:t>
      </w:r>
      <w:r w:rsidR="00E36F61" w:rsidRPr="005F6110">
        <w:rPr>
          <w:rFonts w:ascii="Times New Roman" w:hAnsi="Times New Roman" w:cs="Times New Roman"/>
          <w:sz w:val="20"/>
          <w:szCs w:val="20"/>
        </w:rPr>
        <w:t xml:space="preserve"> discusses </w:t>
      </w:r>
      <w:r w:rsidR="004E066D" w:rsidRPr="005F6110">
        <w:rPr>
          <w:rFonts w:ascii="Times New Roman" w:hAnsi="Times New Roman" w:cs="Times New Roman"/>
          <w:sz w:val="20"/>
          <w:szCs w:val="20"/>
        </w:rPr>
        <w:t>estimation results</w:t>
      </w:r>
      <w:r w:rsidR="00E36F61" w:rsidRPr="005F6110">
        <w:rPr>
          <w:rFonts w:ascii="Times New Roman" w:hAnsi="Times New Roman" w:cs="Times New Roman"/>
          <w:sz w:val="20"/>
          <w:szCs w:val="20"/>
        </w:rPr>
        <w:t>,</w:t>
      </w:r>
      <w:r w:rsidR="00F22F46" w:rsidRPr="005F6110">
        <w:rPr>
          <w:rFonts w:ascii="Times New Roman" w:hAnsi="Times New Roman" w:cs="Times New Roman"/>
          <w:sz w:val="20"/>
          <w:szCs w:val="20"/>
        </w:rPr>
        <w:t xml:space="preserve"> section </w:t>
      </w:r>
      <w:r w:rsidR="00387E7E" w:rsidRPr="005F6110">
        <w:rPr>
          <w:rFonts w:ascii="Times New Roman" w:hAnsi="Times New Roman" w:cs="Times New Roman"/>
          <w:sz w:val="20"/>
          <w:szCs w:val="20"/>
        </w:rPr>
        <w:t>4</w:t>
      </w:r>
      <w:r w:rsidR="00F22F46" w:rsidRPr="005F6110">
        <w:rPr>
          <w:rFonts w:ascii="Times New Roman" w:hAnsi="Times New Roman" w:cs="Times New Roman"/>
          <w:sz w:val="20"/>
          <w:szCs w:val="20"/>
        </w:rPr>
        <w:t xml:space="preserve"> talks about the robustness check measures of the empirical results,</w:t>
      </w:r>
      <w:r w:rsidR="00E36F61" w:rsidRPr="005F6110">
        <w:rPr>
          <w:rFonts w:ascii="Times New Roman" w:hAnsi="Times New Roman" w:cs="Times New Roman"/>
          <w:sz w:val="20"/>
          <w:szCs w:val="20"/>
        </w:rPr>
        <w:t xml:space="preserve"> </w:t>
      </w:r>
      <w:r w:rsidR="004E066D" w:rsidRPr="005F6110">
        <w:rPr>
          <w:rFonts w:ascii="Times New Roman" w:hAnsi="Times New Roman" w:cs="Times New Roman"/>
          <w:sz w:val="20"/>
          <w:szCs w:val="20"/>
        </w:rPr>
        <w:t xml:space="preserve">and section </w:t>
      </w:r>
      <w:r w:rsidR="00387E7E" w:rsidRPr="005F6110">
        <w:rPr>
          <w:rFonts w:ascii="Times New Roman" w:hAnsi="Times New Roman" w:cs="Times New Roman"/>
          <w:sz w:val="20"/>
          <w:szCs w:val="20"/>
        </w:rPr>
        <w:t>5</w:t>
      </w:r>
      <w:r w:rsidR="004E066D" w:rsidRPr="005F6110">
        <w:rPr>
          <w:rFonts w:ascii="Times New Roman" w:hAnsi="Times New Roman" w:cs="Times New Roman"/>
          <w:sz w:val="20"/>
          <w:szCs w:val="20"/>
        </w:rPr>
        <w:t xml:space="preserve"> presents concluding remarks. </w:t>
      </w:r>
      <w:r w:rsidR="004E066D" w:rsidRPr="005F6110">
        <w:rPr>
          <w:rFonts w:ascii="Times New Roman" w:hAnsi="Times New Roman" w:cs="Times New Roman"/>
          <w:b/>
          <w:sz w:val="20"/>
          <w:szCs w:val="20"/>
        </w:rPr>
        <w:t xml:space="preserve"> </w:t>
      </w:r>
    </w:p>
    <w:p w14:paraId="6D0C802A" w14:textId="77777777" w:rsidR="005F6110" w:rsidRPr="005F6110" w:rsidRDefault="005F6110" w:rsidP="005F6110">
      <w:pPr>
        <w:spacing w:after="120" w:line="240" w:lineRule="auto"/>
        <w:ind w:left="-578"/>
        <w:jc w:val="both"/>
        <w:rPr>
          <w:rFonts w:ascii="Times New Roman" w:hAnsi="Times New Roman" w:cs="Times New Roman"/>
          <w:b/>
          <w:sz w:val="20"/>
          <w:szCs w:val="20"/>
        </w:rPr>
      </w:pPr>
    </w:p>
    <w:p w14:paraId="5FB83C1D" w14:textId="51173FE4" w:rsidR="00CA3CE7" w:rsidRPr="005F6110" w:rsidRDefault="00B52CDF" w:rsidP="00387E7E">
      <w:pPr>
        <w:pStyle w:val="ListParagraph"/>
        <w:numPr>
          <w:ilvl w:val="0"/>
          <w:numId w:val="9"/>
        </w:numPr>
        <w:spacing w:after="120" w:line="240" w:lineRule="auto"/>
        <w:jc w:val="both"/>
        <w:rPr>
          <w:rFonts w:ascii="Times New Roman" w:hAnsi="Times New Roman" w:cs="Times New Roman"/>
          <w:b/>
          <w:sz w:val="20"/>
          <w:szCs w:val="20"/>
        </w:rPr>
      </w:pPr>
      <w:r w:rsidRPr="005F6110">
        <w:rPr>
          <w:rFonts w:ascii="Times New Roman" w:hAnsi="Times New Roman" w:cs="Times New Roman"/>
          <w:b/>
          <w:sz w:val="20"/>
          <w:szCs w:val="20"/>
        </w:rPr>
        <w:lastRenderedPageBreak/>
        <w:t>E</w:t>
      </w:r>
      <w:r w:rsidR="00387E7E" w:rsidRPr="005F6110">
        <w:rPr>
          <w:rFonts w:ascii="Times New Roman" w:hAnsi="Times New Roman" w:cs="Times New Roman"/>
          <w:b/>
          <w:sz w:val="20"/>
          <w:szCs w:val="20"/>
        </w:rPr>
        <w:t>conometric</w:t>
      </w:r>
      <w:r w:rsidRPr="005F6110">
        <w:rPr>
          <w:rFonts w:ascii="Times New Roman" w:hAnsi="Times New Roman" w:cs="Times New Roman"/>
          <w:b/>
          <w:sz w:val="20"/>
          <w:szCs w:val="20"/>
        </w:rPr>
        <w:t xml:space="preserve"> S</w:t>
      </w:r>
      <w:r w:rsidR="00387E7E" w:rsidRPr="005F6110">
        <w:rPr>
          <w:rFonts w:ascii="Times New Roman" w:hAnsi="Times New Roman" w:cs="Times New Roman"/>
          <w:b/>
          <w:sz w:val="20"/>
          <w:szCs w:val="20"/>
        </w:rPr>
        <w:t>trategy</w:t>
      </w:r>
      <w:r w:rsidRPr="005F6110">
        <w:rPr>
          <w:rFonts w:ascii="Times New Roman" w:hAnsi="Times New Roman" w:cs="Times New Roman"/>
          <w:b/>
          <w:sz w:val="20"/>
          <w:szCs w:val="20"/>
        </w:rPr>
        <w:t xml:space="preserve"> </w:t>
      </w:r>
      <w:r w:rsidR="00387E7E" w:rsidRPr="005F6110">
        <w:rPr>
          <w:rFonts w:ascii="Times New Roman" w:hAnsi="Times New Roman" w:cs="Times New Roman"/>
          <w:b/>
          <w:sz w:val="20"/>
          <w:szCs w:val="20"/>
        </w:rPr>
        <w:t>and</w:t>
      </w:r>
      <w:r w:rsidRPr="005F6110">
        <w:rPr>
          <w:rFonts w:ascii="Times New Roman" w:hAnsi="Times New Roman" w:cs="Times New Roman"/>
          <w:b/>
          <w:sz w:val="20"/>
          <w:szCs w:val="20"/>
        </w:rPr>
        <w:t xml:space="preserve"> D</w:t>
      </w:r>
      <w:r w:rsidR="00387E7E" w:rsidRPr="005F6110">
        <w:rPr>
          <w:rFonts w:ascii="Times New Roman" w:hAnsi="Times New Roman" w:cs="Times New Roman"/>
          <w:b/>
          <w:sz w:val="20"/>
          <w:szCs w:val="20"/>
        </w:rPr>
        <w:t>ata</w:t>
      </w:r>
      <w:r w:rsidRPr="005F6110">
        <w:rPr>
          <w:rFonts w:ascii="Times New Roman" w:hAnsi="Times New Roman" w:cs="Times New Roman"/>
          <w:b/>
          <w:sz w:val="20"/>
          <w:szCs w:val="20"/>
        </w:rPr>
        <w:t xml:space="preserve"> D</w:t>
      </w:r>
      <w:r w:rsidR="00387E7E" w:rsidRPr="005F6110">
        <w:rPr>
          <w:rFonts w:ascii="Times New Roman" w:hAnsi="Times New Roman" w:cs="Times New Roman"/>
          <w:b/>
          <w:sz w:val="20"/>
          <w:szCs w:val="20"/>
        </w:rPr>
        <w:t>etails</w:t>
      </w:r>
      <w:r w:rsidRPr="005F6110">
        <w:rPr>
          <w:rFonts w:ascii="Times New Roman" w:hAnsi="Times New Roman" w:cs="Times New Roman"/>
          <w:b/>
          <w:sz w:val="20"/>
          <w:szCs w:val="20"/>
        </w:rPr>
        <w:t xml:space="preserve"> </w:t>
      </w:r>
    </w:p>
    <w:p w14:paraId="39E71F6B" w14:textId="0471B251" w:rsidR="00CA3CE7" w:rsidRPr="005F6110" w:rsidRDefault="00CA3CE7"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The main hypothesis proposed in this paper follows from the multi-social class theoretical model</w:t>
      </w:r>
      <w:r w:rsidR="004661DD" w:rsidRPr="005F6110">
        <w:rPr>
          <w:rFonts w:ascii="Times New Roman" w:hAnsi="Times New Roman" w:cs="Times New Roman"/>
          <w:sz w:val="20"/>
          <w:szCs w:val="20"/>
        </w:rPr>
        <w:t>s</w:t>
      </w:r>
      <w:r w:rsidRPr="005F6110">
        <w:rPr>
          <w:rFonts w:ascii="Times New Roman" w:hAnsi="Times New Roman" w:cs="Times New Roman"/>
          <w:sz w:val="20"/>
          <w:szCs w:val="20"/>
        </w:rPr>
        <w:t xml:space="preserve"> of </w:t>
      </w:r>
      <w:r w:rsidR="004661DD" w:rsidRPr="005F6110">
        <w:rPr>
          <w:rFonts w:ascii="Times New Roman" w:hAnsi="Times New Roman" w:cs="Times New Roman"/>
          <w:sz w:val="20"/>
          <w:szCs w:val="20"/>
        </w:rPr>
        <w:t>Acemoglu (200</w:t>
      </w:r>
      <w:r w:rsidR="00A52A44" w:rsidRPr="005F6110">
        <w:rPr>
          <w:rFonts w:ascii="Times New Roman" w:hAnsi="Times New Roman" w:cs="Times New Roman"/>
          <w:sz w:val="20"/>
          <w:szCs w:val="20"/>
        </w:rPr>
        <w:t>8</w:t>
      </w:r>
      <w:r w:rsidR="004661DD" w:rsidRPr="005F6110">
        <w:rPr>
          <w:rFonts w:ascii="Times New Roman" w:hAnsi="Times New Roman" w:cs="Times New Roman"/>
          <w:sz w:val="20"/>
          <w:szCs w:val="20"/>
        </w:rPr>
        <w:t xml:space="preserve">), </w:t>
      </w:r>
      <w:r w:rsidRPr="005F6110">
        <w:rPr>
          <w:rFonts w:ascii="Times New Roman" w:hAnsi="Times New Roman" w:cs="Times New Roman"/>
          <w:sz w:val="20"/>
          <w:szCs w:val="20"/>
        </w:rPr>
        <w:t>Ace</w:t>
      </w:r>
      <w:r w:rsidR="006B447F" w:rsidRPr="005F6110">
        <w:rPr>
          <w:rFonts w:ascii="Times New Roman" w:hAnsi="Times New Roman" w:cs="Times New Roman"/>
          <w:sz w:val="20"/>
          <w:szCs w:val="20"/>
        </w:rPr>
        <w:t>moglu and Robinson (2006</w:t>
      </w:r>
      <w:r w:rsidR="00965E58" w:rsidRPr="005F6110">
        <w:rPr>
          <w:rFonts w:ascii="Times New Roman" w:hAnsi="Times New Roman" w:cs="Times New Roman"/>
          <w:sz w:val="20"/>
          <w:szCs w:val="20"/>
        </w:rPr>
        <w:t>a</w:t>
      </w:r>
      <w:r w:rsidR="006B447F" w:rsidRPr="005F6110">
        <w:rPr>
          <w:rFonts w:ascii="Times New Roman" w:hAnsi="Times New Roman" w:cs="Times New Roman"/>
          <w:sz w:val="20"/>
          <w:szCs w:val="20"/>
        </w:rPr>
        <w:t>).</w:t>
      </w:r>
      <w:r w:rsidR="004661DD" w:rsidRPr="005F6110">
        <w:rPr>
          <w:rFonts w:ascii="Times New Roman" w:hAnsi="Times New Roman" w:cs="Times New Roman"/>
          <w:sz w:val="20"/>
          <w:szCs w:val="20"/>
        </w:rPr>
        <w:t xml:space="preserve"> Interest </w:t>
      </w:r>
      <w:r w:rsidRPr="005F6110">
        <w:rPr>
          <w:rFonts w:ascii="Times New Roman" w:hAnsi="Times New Roman" w:cs="Times New Roman"/>
          <w:sz w:val="20"/>
          <w:szCs w:val="20"/>
        </w:rPr>
        <w:t>groups are classified according to</w:t>
      </w:r>
      <w:r w:rsidR="006B447F" w:rsidRPr="005F6110">
        <w:rPr>
          <w:rFonts w:ascii="Times New Roman" w:hAnsi="Times New Roman" w:cs="Times New Roman"/>
          <w:sz w:val="20"/>
          <w:szCs w:val="20"/>
        </w:rPr>
        <w:t xml:space="preserve"> the type of</w:t>
      </w:r>
      <w:r w:rsidR="005976F9" w:rsidRPr="005F6110">
        <w:rPr>
          <w:rFonts w:ascii="Times New Roman" w:hAnsi="Times New Roman" w:cs="Times New Roman"/>
          <w:sz w:val="20"/>
          <w:szCs w:val="20"/>
        </w:rPr>
        <w:t xml:space="preserve"> economic </w:t>
      </w:r>
      <w:r w:rsidR="006B447F" w:rsidRPr="005F6110">
        <w:rPr>
          <w:rFonts w:ascii="Times New Roman" w:hAnsi="Times New Roman" w:cs="Times New Roman"/>
          <w:sz w:val="20"/>
          <w:szCs w:val="20"/>
        </w:rPr>
        <w:t>activity</w:t>
      </w:r>
      <w:r w:rsidRPr="005F6110">
        <w:rPr>
          <w:rFonts w:ascii="Times New Roman" w:hAnsi="Times New Roman" w:cs="Times New Roman"/>
          <w:sz w:val="20"/>
          <w:szCs w:val="20"/>
        </w:rPr>
        <w:t xml:space="preserve"> </w:t>
      </w:r>
      <w:r w:rsidR="006B447F" w:rsidRPr="005F6110">
        <w:rPr>
          <w:rFonts w:ascii="Times New Roman" w:hAnsi="Times New Roman" w:cs="Times New Roman"/>
          <w:sz w:val="20"/>
          <w:szCs w:val="20"/>
        </w:rPr>
        <w:t xml:space="preserve">from which </w:t>
      </w:r>
      <w:r w:rsidRPr="005F6110">
        <w:rPr>
          <w:rFonts w:ascii="Times New Roman" w:hAnsi="Times New Roman" w:cs="Times New Roman"/>
          <w:sz w:val="20"/>
          <w:szCs w:val="20"/>
        </w:rPr>
        <w:t>they generate their income</w:t>
      </w:r>
      <w:r w:rsidR="004661DD" w:rsidRPr="005F6110">
        <w:rPr>
          <w:rFonts w:ascii="Times New Roman" w:hAnsi="Times New Roman" w:cs="Times New Roman"/>
          <w:sz w:val="20"/>
          <w:szCs w:val="20"/>
        </w:rPr>
        <w:t xml:space="preserve">, their wealth composition, </w:t>
      </w:r>
      <w:r w:rsidRPr="005F6110">
        <w:rPr>
          <w:rFonts w:ascii="Times New Roman" w:hAnsi="Times New Roman" w:cs="Times New Roman"/>
          <w:sz w:val="20"/>
          <w:szCs w:val="20"/>
        </w:rPr>
        <w:t>and their ownership of factors of pro</w:t>
      </w:r>
      <w:r w:rsidR="006B447F" w:rsidRPr="005F6110">
        <w:rPr>
          <w:rFonts w:ascii="Times New Roman" w:hAnsi="Times New Roman" w:cs="Times New Roman"/>
          <w:sz w:val="20"/>
          <w:szCs w:val="20"/>
        </w:rPr>
        <w:t>duction in di</w:t>
      </w:r>
      <w:r w:rsidR="004661DD" w:rsidRPr="005F6110">
        <w:rPr>
          <w:rFonts w:ascii="Times New Roman" w:hAnsi="Times New Roman" w:cs="Times New Roman"/>
          <w:sz w:val="20"/>
          <w:szCs w:val="20"/>
        </w:rPr>
        <w:t xml:space="preserve">stinguished </w:t>
      </w:r>
      <w:r w:rsidR="006B447F" w:rsidRPr="005F6110">
        <w:rPr>
          <w:rFonts w:ascii="Times New Roman" w:hAnsi="Times New Roman" w:cs="Times New Roman"/>
          <w:sz w:val="20"/>
          <w:szCs w:val="20"/>
        </w:rPr>
        <w:t>sectors.</w:t>
      </w:r>
      <w:r w:rsidR="009402ED" w:rsidRPr="005F6110">
        <w:rPr>
          <w:rFonts w:ascii="Times New Roman" w:hAnsi="Times New Roman" w:cs="Times New Roman"/>
          <w:sz w:val="20"/>
          <w:szCs w:val="20"/>
        </w:rPr>
        <w:t xml:space="preserve"> </w:t>
      </w:r>
      <w:r w:rsidR="006B447F" w:rsidRPr="005F6110">
        <w:rPr>
          <w:rFonts w:ascii="Times New Roman" w:hAnsi="Times New Roman" w:cs="Times New Roman"/>
          <w:sz w:val="20"/>
          <w:szCs w:val="20"/>
        </w:rPr>
        <w:t>As a result</w:t>
      </w:r>
      <w:r w:rsidRPr="005F6110">
        <w:rPr>
          <w:rFonts w:ascii="Times New Roman" w:hAnsi="Times New Roman" w:cs="Times New Roman"/>
          <w:sz w:val="20"/>
          <w:szCs w:val="20"/>
        </w:rPr>
        <w:t>, economic interests and preferences of different</w:t>
      </w:r>
      <w:r w:rsidR="004661DD" w:rsidRPr="005F6110">
        <w:rPr>
          <w:rFonts w:ascii="Times New Roman" w:hAnsi="Times New Roman" w:cs="Times New Roman"/>
          <w:sz w:val="20"/>
          <w:szCs w:val="20"/>
        </w:rPr>
        <w:t xml:space="preserve"> interest </w:t>
      </w:r>
      <w:r w:rsidRPr="005F6110">
        <w:rPr>
          <w:rFonts w:ascii="Times New Roman" w:hAnsi="Times New Roman" w:cs="Times New Roman"/>
          <w:sz w:val="20"/>
          <w:szCs w:val="20"/>
        </w:rPr>
        <w:t>groups diverge.</w:t>
      </w:r>
      <w:r w:rsidR="004661DD" w:rsidRPr="005F6110">
        <w:rPr>
          <w:rFonts w:ascii="Times New Roman" w:hAnsi="Times New Roman" w:cs="Times New Roman"/>
          <w:sz w:val="20"/>
          <w:szCs w:val="20"/>
        </w:rPr>
        <w:t xml:space="preserve"> When </w:t>
      </w:r>
      <w:r w:rsidRPr="005F6110">
        <w:rPr>
          <w:rFonts w:ascii="Times New Roman" w:hAnsi="Times New Roman" w:cs="Times New Roman"/>
          <w:sz w:val="20"/>
          <w:szCs w:val="20"/>
        </w:rPr>
        <w:t xml:space="preserve">one </w:t>
      </w:r>
      <w:r w:rsidR="004661DD" w:rsidRPr="005F6110">
        <w:rPr>
          <w:rFonts w:ascii="Times New Roman" w:hAnsi="Times New Roman" w:cs="Times New Roman"/>
          <w:sz w:val="20"/>
          <w:szCs w:val="20"/>
        </w:rPr>
        <w:t>interest group</w:t>
      </w:r>
      <w:r w:rsidR="00710B74" w:rsidRPr="005F6110">
        <w:rPr>
          <w:rFonts w:ascii="Times New Roman" w:hAnsi="Times New Roman" w:cs="Times New Roman"/>
          <w:sz w:val="20"/>
          <w:szCs w:val="20"/>
        </w:rPr>
        <w:t>’s economic contribution to</w:t>
      </w:r>
      <w:r w:rsidRPr="005F6110">
        <w:rPr>
          <w:rFonts w:ascii="Times New Roman" w:hAnsi="Times New Roman" w:cs="Times New Roman"/>
          <w:sz w:val="20"/>
          <w:szCs w:val="20"/>
        </w:rPr>
        <w:t xml:space="preserve"> </w:t>
      </w:r>
      <w:r w:rsidR="00D021DC" w:rsidRPr="005F6110">
        <w:rPr>
          <w:rFonts w:ascii="Times New Roman" w:hAnsi="Times New Roman" w:cs="Times New Roman"/>
          <w:sz w:val="20"/>
          <w:szCs w:val="20"/>
        </w:rPr>
        <w:t xml:space="preserve">the </w:t>
      </w:r>
      <w:r w:rsidRPr="005F6110">
        <w:rPr>
          <w:rFonts w:ascii="Times New Roman" w:hAnsi="Times New Roman" w:cs="Times New Roman"/>
          <w:sz w:val="20"/>
          <w:szCs w:val="20"/>
        </w:rPr>
        <w:t xml:space="preserve">aggregate output increases, that </w:t>
      </w:r>
      <w:r w:rsidR="004661DD" w:rsidRPr="005F6110">
        <w:rPr>
          <w:rFonts w:ascii="Times New Roman" w:hAnsi="Times New Roman" w:cs="Times New Roman"/>
          <w:sz w:val="20"/>
          <w:szCs w:val="20"/>
        </w:rPr>
        <w:t xml:space="preserve">group </w:t>
      </w:r>
      <w:r w:rsidRPr="005F6110">
        <w:rPr>
          <w:rFonts w:ascii="Times New Roman" w:hAnsi="Times New Roman" w:cs="Times New Roman"/>
          <w:sz w:val="20"/>
          <w:szCs w:val="20"/>
        </w:rPr>
        <w:t>gains in political power relative to other groups, and social and economic policy decisions increasingly reflect that group’s economic interests.</w:t>
      </w:r>
      <w:r w:rsidR="004661DD" w:rsidRPr="005F6110">
        <w:rPr>
          <w:rFonts w:ascii="Times New Roman" w:hAnsi="Times New Roman" w:cs="Times New Roman"/>
          <w:sz w:val="20"/>
          <w:szCs w:val="20"/>
        </w:rPr>
        <w:t xml:space="preserve"> We identify interest groups’ political power as de facto political power. De facto political power can emerge as an outcome of the ability of solving collective action problem, or having resources to hire own armies</w:t>
      </w:r>
      <w:r w:rsidR="00C53914" w:rsidRPr="005F6110">
        <w:rPr>
          <w:rFonts w:ascii="Times New Roman" w:hAnsi="Times New Roman" w:cs="Times New Roman"/>
          <w:sz w:val="20"/>
          <w:szCs w:val="20"/>
        </w:rPr>
        <w:t xml:space="preserve"> and supporters, or using financial resources for lobbying and bribing activities (Acemoglu, 200</w:t>
      </w:r>
      <w:r w:rsidR="00A52A44" w:rsidRPr="005F6110">
        <w:rPr>
          <w:rFonts w:ascii="Times New Roman" w:hAnsi="Times New Roman" w:cs="Times New Roman"/>
          <w:sz w:val="20"/>
          <w:szCs w:val="20"/>
        </w:rPr>
        <w:t>8</w:t>
      </w:r>
      <w:r w:rsidR="00C53914" w:rsidRPr="005F6110">
        <w:rPr>
          <w:rFonts w:ascii="Times New Roman" w:hAnsi="Times New Roman" w:cs="Times New Roman"/>
          <w:sz w:val="20"/>
          <w:szCs w:val="20"/>
        </w:rPr>
        <w:t>). In this paper, we adopt the third outcome, and so define the de facto political power as lobbying power.</w:t>
      </w:r>
      <w:r w:rsidRPr="005F6110">
        <w:rPr>
          <w:rFonts w:ascii="Times New Roman" w:hAnsi="Times New Roman" w:cs="Times New Roman"/>
          <w:sz w:val="20"/>
          <w:szCs w:val="20"/>
        </w:rPr>
        <w:t xml:space="preserve">  </w:t>
      </w:r>
    </w:p>
    <w:p w14:paraId="361414B8" w14:textId="2AD3E33B" w:rsidR="004E3B4B" w:rsidRDefault="00C53914"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Therefore, relative economic contribution to the aggregate output maps into relative political influence and lobbying power in the society. T</w:t>
      </w:r>
      <w:r w:rsidR="00D81D93" w:rsidRPr="005F6110">
        <w:rPr>
          <w:rFonts w:ascii="Times New Roman" w:hAnsi="Times New Roman" w:cs="Times New Roman"/>
          <w:sz w:val="20"/>
          <w:szCs w:val="20"/>
        </w:rPr>
        <w:t>he</w:t>
      </w:r>
      <w:r w:rsidRPr="005F6110">
        <w:rPr>
          <w:rFonts w:ascii="Times New Roman" w:hAnsi="Times New Roman" w:cs="Times New Roman"/>
          <w:sz w:val="20"/>
          <w:szCs w:val="20"/>
        </w:rPr>
        <w:t xml:space="preserve"> </w:t>
      </w:r>
      <w:r w:rsidR="00D81D93" w:rsidRPr="005F6110">
        <w:rPr>
          <w:rFonts w:ascii="Times New Roman" w:hAnsi="Times New Roman" w:cs="Times New Roman"/>
          <w:sz w:val="20"/>
          <w:szCs w:val="20"/>
        </w:rPr>
        <w:t>d</w:t>
      </w:r>
      <w:r w:rsidR="00EB4550" w:rsidRPr="005F6110">
        <w:rPr>
          <w:rFonts w:ascii="Times New Roman" w:hAnsi="Times New Roman" w:cs="Times New Roman"/>
          <w:sz w:val="20"/>
          <w:szCs w:val="20"/>
        </w:rPr>
        <w:t>ifferences in economic and social policy choices generate variations in public education spending levels.</w:t>
      </w:r>
      <w:r w:rsidRPr="005F6110">
        <w:rPr>
          <w:rFonts w:ascii="Times New Roman" w:hAnsi="Times New Roman" w:cs="Times New Roman"/>
          <w:sz w:val="20"/>
          <w:szCs w:val="20"/>
        </w:rPr>
        <w:t xml:space="preserve"> Economic contribution to aggregate output and distribution of resources determine distribution of de facto political power. </w:t>
      </w:r>
      <w:r w:rsidR="00681F20" w:rsidRPr="005F6110">
        <w:rPr>
          <w:rFonts w:ascii="Times New Roman" w:hAnsi="Times New Roman" w:cs="Times New Roman"/>
          <w:sz w:val="20"/>
          <w:szCs w:val="20"/>
        </w:rPr>
        <w:t>Since i</w:t>
      </w:r>
      <w:r w:rsidR="00D81D93" w:rsidRPr="005F6110">
        <w:rPr>
          <w:rFonts w:ascii="Times New Roman" w:hAnsi="Times New Roman" w:cs="Times New Roman"/>
          <w:sz w:val="20"/>
          <w:szCs w:val="20"/>
        </w:rPr>
        <w:t xml:space="preserve">nstitutions mediate </w:t>
      </w:r>
      <w:r w:rsidRPr="005F6110">
        <w:rPr>
          <w:rFonts w:ascii="Times New Roman" w:hAnsi="Times New Roman" w:cs="Times New Roman"/>
          <w:sz w:val="20"/>
          <w:szCs w:val="20"/>
        </w:rPr>
        <w:t xml:space="preserve">as the intermediate channel </w:t>
      </w:r>
      <w:r w:rsidR="00D81D93" w:rsidRPr="005F6110">
        <w:rPr>
          <w:rFonts w:ascii="Times New Roman" w:hAnsi="Times New Roman" w:cs="Times New Roman"/>
          <w:sz w:val="20"/>
          <w:szCs w:val="20"/>
        </w:rPr>
        <w:t>between lobbying power and policy outcomes</w:t>
      </w:r>
      <w:r w:rsidR="00681F20" w:rsidRPr="005F6110">
        <w:rPr>
          <w:rFonts w:ascii="Times New Roman" w:hAnsi="Times New Roman" w:cs="Times New Roman"/>
          <w:sz w:val="20"/>
          <w:szCs w:val="20"/>
        </w:rPr>
        <w:t xml:space="preserve"> </w:t>
      </w:r>
      <w:r w:rsidR="004E3B4B" w:rsidRPr="005F6110">
        <w:rPr>
          <w:rFonts w:ascii="Times New Roman" w:hAnsi="Times New Roman" w:cs="Times New Roman"/>
          <w:sz w:val="20"/>
          <w:szCs w:val="20"/>
        </w:rPr>
        <w:t>we examine how different governance indicators affect the overall impact of social classes’ lobbying power on public education spending.</w:t>
      </w:r>
      <w:r w:rsidRPr="005F6110">
        <w:rPr>
          <w:rFonts w:ascii="Times New Roman" w:hAnsi="Times New Roman" w:cs="Times New Roman"/>
          <w:sz w:val="20"/>
          <w:szCs w:val="20"/>
        </w:rPr>
        <w:t xml:space="preserve"> </w:t>
      </w:r>
      <w:r w:rsidR="004E3B4B" w:rsidRPr="005F6110">
        <w:rPr>
          <w:rFonts w:ascii="Times New Roman" w:hAnsi="Times New Roman" w:cs="Times New Roman"/>
          <w:sz w:val="20"/>
          <w:szCs w:val="20"/>
        </w:rPr>
        <w:t>Figure 1 explains these theoretical foundations</w:t>
      </w:r>
      <w:r w:rsidR="009F00D1" w:rsidRPr="005F6110">
        <w:rPr>
          <w:rFonts w:ascii="Times New Roman" w:hAnsi="Times New Roman" w:cs="Times New Roman"/>
          <w:sz w:val="20"/>
          <w:szCs w:val="20"/>
        </w:rPr>
        <w:t xml:space="preserve"> in the following</w:t>
      </w:r>
      <w:r w:rsidR="004E3B4B" w:rsidRPr="005F6110">
        <w:rPr>
          <w:rFonts w:ascii="Times New Roman" w:hAnsi="Times New Roman" w:cs="Times New Roman"/>
          <w:sz w:val="20"/>
          <w:szCs w:val="20"/>
        </w:rPr>
        <w:t xml:space="preserve">: </w:t>
      </w:r>
    </w:p>
    <w:p w14:paraId="1502FE3C" w14:textId="77777777" w:rsidR="005F6110" w:rsidRPr="005F6110" w:rsidRDefault="005F6110" w:rsidP="005F6110">
      <w:pPr>
        <w:spacing w:after="120" w:line="240" w:lineRule="auto"/>
        <w:ind w:left="-578"/>
        <w:jc w:val="both"/>
        <w:rPr>
          <w:rFonts w:ascii="Times New Roman" w:hAnsi="Times New Roman" w:cs="Times New Roman"/>
          <w:sz w:val="20"/>
          <w:szCs w:val="20"/>
        </w:rPr>
      </w:pPr>
    </w:p>
    <w:p w14:paraId="1303D765" w14:textId="156B0699" w:rsidR="004E3B4B" w:rsidRPr="005F6110" w:rsidRDefault="004E3B4B" w:rsidP="004E3B4B">
      <w:pPr>
        <w:spacing w:after="120" w:line="480" w:lineRule="auto"/>
        <w:ind w:left="-576" w:firstLine="144"/>
        <w:jc w:val="both"/>
        <w:rPr>
          <w:rFonts w:ascii="Times New Roman" w:hAnsi="Times New Roman" w:cs="Times New Roman"/>
          <w:b/>
          <w:sz w:val="20"/>
          <w:szCs w:val="20"/>
        </w:rPr>
      </w:pPr>
      <w:r w:rsidRPr="005F6110">
        <w:rPr>
          <w:rFonts w:ascii="Times New Roman" w:hAnsi="Times New Roman" w:cs="Times New Roman"/>
          <w:b/>
          <w:sz w:val="20"/>
          <w:szCs w:val="20"/>
        </w:rPr>
        <w:t>Figure 1:</w:t>
      </w:r>
    </w:p>
    <w:p w14:paraId="5D06C993" w14:textId="77777777" w:rsidR="004E3B4B" w:rsidRPr="004E3B4B" w:rsidRDefault="004E3B4B" w:rsidP="004E3B4B">
      <w:pPr>
        <w:spacing w:after="160" w:line="259" w:lineRule="auto"/>
        <w:rPr>
          <w:rFonts w:ascii="Calibri" w:eastAsia="Calibri" w:hAnsi="Calibri" w:cs="Times New Roman"/>
          <w:color w:val="E7E6E6"/>
          <w14:textOutline w14:w="9525" w14:cap="rnd" w14:cmpd="sng" w14:algn="ctr">
            <w14:solidFill>
              <w14:srgbClr w14:val="FFFFFF">
                <w14:satOff w14:val="0"/>
                <w14:lumOff w14:val="0"/>
              </w14:srgbClr>
            </w14:solidFill>
            <w14:prstDash w14:val="solid"/>
            <w14:bevel/>
          </w14:textOutline>
        </w:rPr>
      </w:pPr>
      <w:r w:rsidRPr="004E3B4B">
        <w:rPr>
          <w:rFonts w:ascii="Calibri" w:eastAsia="Calibri" w:hAnsi="Calibri" w:cs="Times New Roman"/>
          <w:noProof/>
        </w:rPr>
        <w:drawing>
          <wp:inline distT="0" distB="0" distL="0" distR="0" wp14:anchorId="686FECD5" wp14:editId="764B67B2">
            <wp:extent cx="5943600" cy="143446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99004AE" w14:textId="77777777" w:rsidR="00B4573E" w:rsidRDefault="004E3B4B" w:rsidP="00B4573E">
      <w:pPr>
        <w:spacing w:after="120" w:line="240" w:lineRule="auto"/>
        <w:ind w:left="-576" w:firstLine="144"/>
        <w:jc w:val="both"/>
        <w:rPr>
          <w:rFonts w:ascii="Times New Roman" w:hAnsi="Times New Roman" w:cs="Times New Roman"/>
          <w:sz w:val="24"/>
          <w:szCs w:val="24"/>
        </w:rPr>
      </w:pPr>
      <w:r>
        <w:rPr>
          <w:rFonts w:ascii="Times New Roman" w:hAnsi="Times New Roman" w:cs="Times New Roman"/>
          <w:sz w:val="24"/>
          <w:szCs w:val="24"/>
        </w:rPr>
        <w:t xml:space="preserve">  </w:t>
      </w:r>
    </w:p>
    <w:p w14:paraId="7658BDFB" w14:textId="65105F2D" w:rsidR="001E00A0" w:rsidRPr="005F6110" w:rsidRDefault="00710B74"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One important question for empirical work is the choice of a metric to</w:t>
      </w:r>
      <w:r w:rsidR="001E00A0" w:rsidRPr="005F6110">
        <w:rPr>
          <w:rFonts w:ascii="Times New Roman" w:hAnsi="Times New Roman" w:cs="Times New Roman"/>
          <w:sz w:val="20"/>
          <w:szCs w:val="20"/>
        </w:rPr>
        <w:t xml:space="preserve"> measure the </w:t>
      </w:r>
      <w:r w:rsidR="00681F20" w:rsidRPr="005F6110">
        <w:rPr>
          <w:rFonts w:ascii="Times New Roman" w:hAnsi="Times New Roman" w:cs="Times New Roman"/>
          <w:sz w:val="20"/>
          <w:szCs w:val="20"/>
        </w:rPr>
        <w:t xml:space="preserve">lobbying power </w:t>
      </w:r>
      <w:r w:rsidRPr="005F6110">
        <w:rPr>
          <w:rFonts w:ascii="Times New Roman" w:hAnsi="Times New Roman" w:cs="Times New Roman"/>
          <w:sz w:val="20"/>
          <w:szCs w:val="20"/>
        </w:rPr>
        <w:t xml:space="preserve">of a given </w:t>
      </w:r>
      <w:r w:rsidR="000E023C" w:rsidRPr="005F6110">
        <w:rPr>
          <w:rFonts w:ascii="Times New Roman" w:hAnsi="Times New Roman" w:cs="Times New Roman"/>
          <w:sz w:val="20"/>
          <w:szCs w:val="20"/>
        </w:rPr>
        <w:t>interest group</w:t>
      </w:r>
      <w:r w:rsidRPr="005F6110">
        <w:rPr>
          <w:rFonts w:ascii="Times New Roman" w:hAnsi="Times New Roman" w:cs="Times New Roman"/>
          <w:sz w:val="20"/>
          <w:szCs w:val="20"/>
        </w:rPr>
        <w:t>.</w:t>
      </w:r>
      <w:r w:rsidR="000E023C" w:rsidRPr="005F6110">
        <w:rPr>
          <w:rFonts w:ascii="Times New Roman" w:hAnsi="Times New Roman" w:cs="Times New Roman"/>
          <w:sz w:val="20"/>
          <w:szCs w:val="20"/>
        </w:rPr>
        <w:t xml:space="preserve"> Some studies </w:t>
      </w:r>
      <w:r w:rsidR="001E00A0" w:rsidRPr="005F6110">
        <w:rPr>
          <w:rFonts w:ascii="Times New Roman" w:hAnsi="Times New Roman" w:cs="Times New Roman"/>
          <w:sz w:val="20"/>
          <w:szCs w:val="20"/>
        </w:rPr>
        <w:t>in the literature that try to proxy the</w:t>
      </w:r>
      <w:r w:rsidR="00681F20" w:rsidRPr="005F6110">
        <w:rPr>
          <w:rFonts w:ascii="Times New Roman" w:hAnsi="Times New Roman" w:cs="Times New Roman"/>
          <w:sz w:val="20"/>
          <w:szCs w:val="20"/>
        </w:rPr>
        <w:t xml:space="preserve"> lobbying power </w:t>
      </w:r>
      <w:r w:rsidR="001E00A0" w:rsidRPr="005F6110">
        <w:rPr>
          <w:rFonts w:ascii="Times New Roman" w:hAnsi="Times New Roman" w:cs="Times New Roman"/>
          <w:sz w:val="20"/>
          <w:szCs w:val="20"/>
        </w:rPr>
        <w:t xml:space="preserve">of </w:t>
      </w:r>
      <w:r w:rsidR="000E023C" w:rsidRPr="005F6110">
        <w:rPr>
          <w:rFonts w:ascii="Times New Roman" w:hAnsi="Times New Roman" w:cs="Times New Roman"/>
          <w:sz w:val="20"/>
          <w:szCs w:val="20"/>
        </w:rPr>
        <w:t xml:space="preserve">interest groups </w:t>
      </w:r>
      <w:r w:rsidR="001E00A0" w:rsidRPr="005F6110">
        <w:rPr>
          <w:rFonts w:ascii="Times New Roman" w:hAnsi="Times New Roman" w:cs="Times New Roman"/>
          <w:sz w:val="20"/>
          <w:szCs w:val="20"/>
        </w:rPr>
        <w:t xml:space="preserve">use the political party left-right spectrum variables from the Database of Political Institutions (DPI 2009) (Beck et al., 2009). However, as the </w:t>
      </w:r>
      <w:r w:rsidR="00681F20" w:rsidRPr="005F6110">
        <w:rPr>
          <w:rFonts w:ascii="Times New Roman" w:hAnsi="Times New Roman" w:cs="Times New Roman"/>
          <w:sz w:val="20"/>
          <w:szCs w:val="20"/>
        </w:rPr>
        <w:t xml:space="preserve">authors of </w:t>
      </w:r>
      <w:r w:rsidR="001E00A0" w:rsidRPr="005F6110">
        <w:rPr>
          <w:rFonts w:ascii="Times New Roman" w:hAnsi="Times New Roman" w:cs="Times New Roman"/>
          <w:sz w:val="20"/>
          <w:szCs w:val="20"/>
        </w:rPr>
        <w:t xml:space="preserve">DPI 2009 codebook state, the data sources reveal very little information on party platforms, </w:t>
      </w:r>
      <w:r w:rsidR="000E023C" w:rsidRPr="005F6110">
        <w:rPr>
          <w:rFonts w:ascii="Times New Roman" w:hAnsi="Times New Roman" w:cs="Times New Roman"/>
          <w:sz w:val="20"/>
          <w:szCs w:val="20"/>
        </w:rPr>
        <w:t>interest</w:t>
      </w:r>
      <w:r w:rsidR="001E00A0" w:rsidRPr="005F6110">
        <w:rPr>
          <w:rFonts w:ascii="Times New Roman" w:hAnsi="Times New Roman" w:cs="Times New Roman"/>
          <w:sz w:val="20"/>
          <w:szCs w:val="20"/>
        </w:rPr>
        <w:t xml:space="preserve"> groups supporting these parties, and agendas regarding </w:t>
      </w:r>
      <w:r w:rsidR="001A69EA" w:rsidRPr="005F6110">
        <w:rPr>
          <w:rFonts w:ascii="Times New Roman" w:hAnsi="Times New Roman" w:cs="Times New Roman"/>
          <w:sz w:val="20"/>
          <w:szCs w:val="20"/>
        </w:rPr>
        <w:t xml:space="preserve">their </w:t>
      </w:r>
      <w:r w:rsidR="001E00A0" w:rsidRPr="005F6110">
        <w:rPr>
          <w:rFonts w:ascii="Times New Roman" w:hAnsi="Times New Roman" w:cs="Times New Roman"/>
          <w:sz w:val="20"/>
          <w:szCs w:val="20"/>
        </w:rPr>
        <w:t>economic polic</w:t>
      </w:r>
      <w:r w:rsidR="001A69EA" w:rsidRPr="005F6110">
        <w:rPr>
          <w:rFonts w:ascii="Times New Roman" w:hAnsi="Times New Roman" w:cs="Times New Roman"/>
          <w:sz w:val="20"/>
          <w:szCs w:val="20"/>
        </w:rPr>
        <w:t>ies</w:t>
      </w:r>
      <w:r w:rsidR="001E00A0" w:rsidRPr="005F6110">
        <w:rPr>
          <w:rFonts w:ascii="Times New Roman" w:hAnsi="Times New Roman" w:cs="Times New Roman"/>
          <w:sz w:val="20"/>
          <w:szCs w:val="20"/>
        </w:rPr>
        <w:t xml:space="preserve">. </w:t>
      </w:r>
      <w:r w:rsidRPr="005F6110">
        <w:rPr>
          <w:rFonts w:ascii="Times New Roman" w:hAnsi="Times New Roman" w:cs="Times New Roman"/>
          <w:sz w:val="20"/>
          <w:szCs w:val="20"/>
        </w:rPr>
        <w:t>In what follow</w:t>
      </w:r>
      <w:r w:rsidR="001E00A0" w:rsidRPr="005F6110">
        <w:rPr>
          <w:rFonts w:ascii="Times New Roman" w:hAnsi="Times New Roman" w:cs="Times New Roman"/>
          <w:sz w:val="20"/>
          <w:szCs w:val="20"/>
        </w:rPr>
        <w:t>s</w:t>
      </w:r>
      <w:r w:rsidRPr="005F6110">
        <w:rPr>
          <w:rFonts w:ascii="Times New Roman" w:hAnsi="Times New Roman" w:cs="Times New Roman"/>
          <w:sz w:val="20"/>
          <w:szCs w:val="20"/>
        </w:rPr>
        <w:t>, I use</w:t>
      </w:r>
      <w:r w:rsidR="001E00A0" w:rsidRPr="005F6110">
        <w:rPr>
          <w:rFonts w:ascii="Times New Roman" w:hAnsi="Times New Roman" w:cs="Times New Roman"/>
          <w:sz w:val="20"/>
          <w:szCs w:val="20"/>
        </w:rPr>
        <w:t xml:space="preserve"> instead</w:t>
      </w:r>
      <w:r w:rsidRPr="005F6110">
        <w:rPr>
          <w:rFonts w:ascii="Times New Roman" w:hAnsi="Times New Roman" w:cs="Times New Roman"/>
          <w:sz w:val="20"/>
          <w:szCs w:val="20"/>
        </w:rPr>
        <w:t xml:space="preserve"> a number of macroeconomic indicators to proxy the influence </w:t>
      </w:r>
      <w:r w:rsidR="000E023C" w:rsidRPr="005F6110">
        <w:rPr>
          <w:rFonts w:ascii="Times New Roman" w:hAnsi="Times New Roman" w:cs="Times New Roman"/>
          <w:sz w:val="20"/>
          <w:szCs w:val="20"/>
        </w:rPr>
        <w:t>interest groups</w:t>
      </w:r>
      <w:r w:rsidRPr="005F6110">
        <w:rPr>
          <w:rFonts w:ascii="Times New Roman" w:hAnsi="Times New Roman" w:cs="Times New Roman"/>
          <w:sz w:val="20"/>
          <w:szCs w:val="20"/>
        </w:rPr>
        <w:t xml:space="preserve"> may bring to bear in the political arena. Specifically,</w:t>
      </w:r>
      <w:r w:rsidR="001A69EA"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natural resource rents, manufacture exports and agriculture value added (as shares of GDP) are adopted as proxy variables to measure the </w:t>
      </w:r>
      <w:r w:rsidR="00681F20" w:rsidRPr="005F6110">
        <w:rPr>
          <w:rFonts w:ascii="Times New Roman" w:hAnsi="Times New Roman" w:cs="Times New Roman"/>
          <w:sz w:val="20"/>
          <w:szCs w:val="20"/>
        </w:rPr>
        <w:t xml:space="preserve">lobbying power </w:t>
      </w:r>
      <w:r w:rsidRPr="005F6110">
        <w:rPr>
          <w:rFonts w:ascii="Times New Roman" w:hAnsi="Times New Roman" w:cs="Times New Roman"/>
          <w:sz w:val="20"/>
          <w:szCs w:val="20"/>
        </w:rPr>
        <w:t>of the natural resource owners, manufacturers, and landowners, respectively. The m</w:t>
      </w:r>
      <w:r w:rsidR="001E00A0" w:rsidRPr="005F6110">
        <w:rPr>
          <w:rFonts w:ascii="Times New Roman" w:hAnsi="Times New Roman" w:cs="Times New Roman"/>
          <w:sz w:val="20"/>
          <w:szCs w:val="20"/>
        </w:rPr>
        <w:t>otivation behind this choice</w:t>
      </w:r>
      <w:r w:rsidRPr="005F6110">
        <w:rPr>
          <w:rFonts w:ascii="Times New Roman" w:hAnsi="Times New Roman" w:cs="Times New Roman"/>
          <w:sz w:val="20"/>
          <w:szCs w:val="20"/>
        </w:rPr>
        <w:t xml:space="preserve"> </w:t>
      </w:r>
      <w:r w:rsidR="00513025" w:rsidRPr="005F6110">
        <w:rPr>
          <w:rFonts w:ascii="Times New Roman" w:hAnsi="Times New Roman" w:cs="Times New Roman"/>
          <w:sz w:val="20"/>
          <w:szCs w:val="20"/>
        </w:rPr>
        <w:t xml:space="preserve">of the metric </w:t>
      </w:r>
      <w:r w:rsidRPr="005F6110">
        <w:rPr>
          <w:rFonts w:ascii="Times New Roman" w:hAnsi="Times New Roman" w:cs="Times New Roman"/>
          <w:sz w:val="20"/>
          <w:szCs w:val="20"/>
        </w:rPr>
        <w:t xml:space="preserve">is to </w:t>
      </w:r>
      <w:r w:rsidR="001E00A0" w:rsidRPr="005F6110">
        <w:rPr>
          <w:rFonts w:ascii="Times New Roman" w:hAnsi="Times New Roman" w:cs="Times New Roman"/>
          <w:sz w:val="20"/>
          <w:szCs w:val="20"/>
        </w:rPr>
        <w:t xml:space="preserve">use the mapping from </w:t>
      </w:r>
      <w:r w:rsidR="00E66E5E" w:rsidRPr="005F6110">
        <w:rPr>
          <w:rFonts w:ascii="Times New Roman" w:hAnsi="Times New Roman" w:cs="Times New Roman"/>
          <w:sz w:val="20"/>
          <w:szCs w:val="20"/>
        </w:rPr>
        <w:t xml:space="preserve">economic contribution to aggregate output and </w:t>
      </w:r>
      <w:r w:rsidR="000E023C" w:rsidRPr="005F6110">
        <w:rPr>
          <w:rFonts w:ascii="Times New Roman" w:hAnsi="Times New Roman" w:cs="Times New Roman"/>
          <w:sz w:val="20"/>
          <w:szCs w:val="20"/>
        </w:rPr>
        <w:t xml:space="preserve">distribution of resources </w:t>
      </w:r>
      <w:r w:rsidR="001E00A0" w:rsidRPr="005F6110">
        <w:rPr>
          <w:rFonts w:ascii="Times New Roman" w:hAnsi="Times New Roman" w:cs="Times New Roman"/>
          <w:sz w:val="20"/>
          <w:szCs w:val="20"/>
        </w:rPr>
        <w:t xml:space="preserve">to </w:t>
      </w:r>
      <w:r w:rsidR="000E023C" w:rsidRPr="005F6110">
        <w:rPr>
          <w:rFonts w:ascii="Times New Roman" w:hAnsi="Times New Roman" w:cs="Times New Roman"/>
          <w:sz w:val="20"/>
          <w:szCs w:val="20"/>
        </w:rPr>
        <w:t xml:space="preserve">de facto </w:t>
      </w:r>
      <w:r w:rsidR="001E00A0" w:rsidRPr="005F6110">
        <w:rPr>
          <w:rFonts w:ascii="Times New Roman" w:hAnsi="Times New Roman" w:cs="Times New Roman"/>
          <w:sz w:val="20"/>
          <w:szCs w:val="20"/>
        </w:rPr>
        <w:t>political power</w:t>
      </w:r>
      <w:r w:rsidR="00E66E5E" w:rsidRPr="005F6110">
        <w:rPr>
          <w:rFonts w:ascii="Times New Roman" w:hAnsi="Times New Roman" w:cs="Times New Roman"/>
          <w:sz w:val="20"/>
          <w:szCs w:val="20"/>
        </w:rPr>
        <w:t xml:space="preserve">, and to substantiate the definition of the </w:t>
      </w:r>
      <w:r w:rsidR="000E023C" w:rsidRPr="005F6110">
        <w:rPr>
          <w:rFonts w:ascii="Times New Roman" w:hAnsi="Times New Roman" w:cs="Times New Roman"/>
          <w:sz w:val="20"/>
          <w:szCs w:val="20"/>
        </w:rPr>
        <w:t>interest groups</w:t>
      </w:r>
      <w:r w:rsidR="00E66E5E" w:rsidRPr="005F6110">
        <w:rPr>
          <w:rFonts w:ascii="Times New Roman" w:hAnsi="Times New Roman" w:cs="Times New Roman"/>
          <w:sz w:val="20"/>
          <w:szCs w:val="20"/>
        </w:rPr>
        <w:t>’ lobbying power with economic fundamentals</w:t>
      </w:r>
      <w:r w:rsidR="001E00A0" w:rsidRPr="005F6110">
        <w:rPr>
          <w:rFonts w:ascii="Times New Roman" w:hAnsi="Times New Roman" w:cs="Times New Roman"/>
          <w:sz w:val="20"/>
          <w:szCs w:val="20"/>
        </w:rPr>
        <w:t>.</w:t>
      </w:r>
    </w:p>
    <w:p w14:paraId="091A78DB" w14:textId="2FA0EEA8" w:rsidR="00400957" w:rsidRPr="005F6110" w:rsidRDefault="00893736"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Further, as</w:t>
      </w:r>
      <w:r w:rsidR="00513025" w:rsidRPr="005F6110">
        <w:rPr>
          <w:rFonts w:ascii="Times New Roman" w:hAnsi="Times New Roman" w:cs="Times New Roman"/>
          <w:sz w:val="20"/>
          <w:szCs w:val="20"/>
        </w:rPr>
        <w:t xml:space="preserve"> </w:t>
      </w:r>
      <w:r w:rsidRPr="005F6110">
        <w:rPr>
          <w:rFonts w:ascii="Times New Roman" w:hAnsi="Times New Roman" w:cs="Times New Roman"/>
          <w:sz w:val="20"/>
          <w:szCs w:val="20"/>
        </w:rPr>
        <w:t>institutions mediate between political power and political outcomes, in what follows</w:t>
      </w:r>
      <w:r w:rsidR="00513025" w:rsidRPr="005F6110">
        <w:rPr>
          <w:rFonts w:ascii="Times New Roman" w:hAnsi="Times New Roman" w:cs="Times New Roman"/>
          <w:sz w:val="20"/>
          <w:szCs w:val="20"/>
        </w:rPr>
        <w:t xml:space="preserve"> </w:t>
      </w:r>
      <w:r w:rsidR="00710B74" w:rsidRPr="005F6110">
        <w:rPr>
          <w:rFonts w:ascii="Times New Roman" w:hAnsi="Times New Roman" w:cs="Times New Roman"/>
          <w:sz w:val="20"/>
          <w:szCs w:val="20"/>
        </w:rPr>
        <w:t xml:space="preserve">different governance indicators </w:t>
      </w:r>
      <w:r w:rsidR="00513025" w:rsidRPr="005F6110">
        <w:rPr>
          <w:rFonts w:ascii="Times New Roman" w:hAnsi="Times New Roman" w:cs="Times New Roman"/>
          <w:sz w:val="20"/>
          <w:szCs w:val="20"/>
        </w:rPr>
        <w:t xml:space="preserve">are interacted </w:t>
      </w:r>
      <w:r w:rsidRPr="005F6110">
        <w:rPr>
          <w:rFonts w:ascii="Times New Roman" w:hAnsi="Times New Roman" w:cs="Times New Roman"/>
          <w:sz w:val="20"/>
          <w:szCs w:val="20"/>
        </w:rPr>
        <w:t xml:space="preserve">with </w:t>
      </w:r>
      <w:r w:rsidR="00E66E5E" w:rsidRPr="005F6110">
        <w:rPr>
          <w:rFonts w:ascii="Times New Roman" w:hAnsi="Times New Roman" w:cs="Times New Roman"/>
          <w:sz w:val="20"/>
          <w:szCs w:val="20"/>
        </w:rPr>
        <w:t xml:space="preserve">the </w:t>
      </w:r>
      <w:r w:rsidRPr="005F6110">
        <w:rPr>
          <w:rFonts w:ascii="Times New Roman" w:hAnsi="Times New Roman" w:cs="Times New Roman"/>
          <w:sz w:val="20"/>
          <w:szCs w:val="20"/>
        </w:rPr>
        <w:t xml:space="preserve">proxies of </w:t>
      </w:r>
      <w:r w:rsidR="00E66E5E" w:rsidRPr="005F6110">
        <w:rPr>
          <w:rFonts w:ascii="Times New Roman" w:hAnsi="Times New Roman" w:cs="Times New Roman"/>
          <w:sz w:val="20"/>
          <w:szCs w:val="20"/>
        </w:rPr>
        <w:t xml:space="preserve">lobbying </w:t>
      </w:r>
      <w:r w:rsidRPr="005F6110">
        <w:rPr>
          <w:rFonts w:ascii="Times New Roman" w:hAnsi="Times New Roman" w:cs="Times New Roman"/>
          <w:sz w:val="20"/>
          <w:szCs w:val="20"/>
        </w:rPr>
        <w:t xml:space="preserve">power </w:t>
      </w:r>
      <w:r w:rsidR="00710B74" w:rsidRPr="005F6110">
        <w:rPr>
          <w:rFonts w:ascii="Times New Roman" w:hAnsi="Times New Roman" w:cs="Times New Roman"/>
          <w:sz w:val="20"/>
          <w:szCs w:val="20"/>
        </w:rPr>
        <w:t>to examine the effect</w:t>
      </w:r>
      <w:r w:rsidRPr="005F6110">
        <w:rPr>
          <w:rFonts w:ascii="Times New Roman" w:hAnsi="Times New Roman" w:cs="Times New Roman"/>
          <w:sz w:val="20"/>
          <w:szCs w:val="20"/>
        </w:rPr>
        <w:t xml:space="preserve"> of the latter </w:t>
      </w:r>
      <w:r w:rsidR="00710B74" w:rsidRPr="005F6110">
        <w:rPr>
          <w:rFonts w:ascii="Times New Roman" w:hAnsi="Times New Roman" w:cs="Times New Roman"/>
          <w:sz w:val="20"/>
          <w:szCs w:val="20"/>
        </w:rPr>
        <w:t>o</w:t>
      </w:r>
      <w:r w:rsidRPr="005F6110">
        <w:rPr>
          <w:rFonts w:ascii="Times New Roman" w:hAnsi="Times New Roman" w:cs="Times New Roman"/>
          <w:sz w:val="20"/>
          <w:szCs w:val="20"/>
        </w:rPr>
        <w:t>n public education spending. A</w:t>
      </w:r>
      <w:r w:rsidR="00710B74" w:rsidRPr="005F6110">
        <w:rPr>
          <w:rFonts w:ascii="Times New Roman" w:hAnsi="Times New Roman" w:cs="Times New Roman"/>
          <w:sz w:val="20"/>
          <w:szCs w:val="20"/>
        </w:rPr>
        <w:t xml:space="preserve"> similar method is followed in the </w:t>
      </w:r>
      <w:r w:rsidRPr="005F6110">
        <w:rPr>
          <w:rFonts w:ascii="Times New Roman" w:hAnsi="Times New Roman" w:cs="Times New Roman"/>
          <w:sz w:val="20"/>
          <w:szCs w:val="20"/>
        </w:rPr>
        <w:t xml:space="preserve">literature on </w:t>
      </w:r>
      <w:r w:rsidR="00710B74" w:rsidRPr="005F6110">
        <w:rPr>
          <w:rFonts w:ascii="Times New Roman" w:hAnsi="Times New Roman" w:cs="Times New Roman"/>
          <w:sz w:val="20"/>
          <w:szCs w:val="20"/>
        </w:rPr>
        <w:t xml:space="preserve">natural resources and economic growth. For instance, </w:t>
      </w:r>
      <w:proofErr w:type="spellStart"/>
      <w:r w:rsidR="00710B74" w:rsidRPr="005F6110">
        <w:rPr>
          <w:rFonts w:ascii="Times New Roman" w:hAnsi="Times New Roman" w:cs="Times New Roman"/>
          <w:sz w:val="20"/>
          <w:szCs w:val="20"/>
        </w:rPr>
        <w:t>Mehlum</w:t>
      </w:r>
      <w:proofErr w:type="spellEnd"/>
      <w:r w:rsidR="00710B74" w:rsidRPr="005F6110">
        <w:rPr>
          <w:rFonts w:ascii="Times New Roman" w:hAnsi="Times New Roman" w:cs="Times New Roman"/>
          <w:sz w:val="20"/>
          <w:szCs w:val="20"/>
        </w:rPr>
        <w:t xml:space="preserve"> et al. (2006), </w:t>
      </w:r>
      <w:proofErr w:type="spellStart"/>
      <w:r w:rsidR="00710B74" w:rsidRPr="005F6110">
        <w:rPr>
          <w:rFonts w:ascii="Times New Roman" w:hAnsi="Times New Roman" w:cs="Times New Roman"/>
          <w:sz w:val="20"/>
          <w:szCs w:val="20"/>
        </w:rPr>
        <w:t>Boschini</w:t>
      </w:r>
      <w:proofErr w:type="spellEnd"/>
      <w:r w:rsidR="00710B74" w:rsidRPr="005F6110">
        <w:rPr>
          <w:rFonts w:ascii="Times New Roman" w:hAnsi="Times New Roman" w:cs="Times New Roman"/>
          <w:sz w:val="20"/>
          <w:szCs w:val="20"/>
        </w:rPr>
        <w:t xml:space="preserve"> et al. (2007) and </w:t>
      </w:r>
      <w:proofErr w:type="spellStart"/>
      <w:r w:rsidR="00710B74" w:rsidRPr="005F6110">
        <w:rPr>
          <w:rFonts w:ascii="Times New Roman" w:hAnsi="Times New Roman" w:cs="Times New Roman"/>
          <w:sz w:val="20"/>
          <w:szCs w:val="20"/>
        </w:rPr>
        <w:t>Brunnschweiler</w:t>
      </w:r>
      <w:proofErr w:type="spellEnd"/>
      <w:r w:rsidR="00710B74" w:rsidRPr="005F6110">
        <w:rPr>
          <w:rFonts w:ascii="Times New Roman" w:hAnsi="Times New Roman" w:cs="Times New Roman"/>
          <w:sz w:val="20"/>
          <w:szCs w:val="20"/>
        </w:rPr>
        <w:t xml:space="preserve"> (2008) use in their empirical models the interactions between various natural resource measures and institut</w:t>
      </w:r>
      <w:r w:rsidRPr="005F6110">
        <w:rPr>
          <w:rFonts w:ascii="Times New Roman" w:hAnsi="Times New Roman" w:cs="Times New Roman"/>
          <w:sz w:val="20"/>
          <w:szCs w:val="20"/>
        </w:rPr>
        <w:t xml:space="preserve">ional quality indicators to estimate </w:t>
      </w:r>
      <w:r w:rsidR="00710B74" w:rsidRPr="005F6110">
        <w:rPr>
          <w:rFonts w:ascii="Times New Roman" w:hAnsi="Times New Roman" w:cs="Times New Roman"/>
          <w:sz w:val="20"/>
          <w:szCs w:val="20"/>
        </w:rPr>
        <w:t xml:space="preserve">the total effect of natural resource abundance on economic development. </w:t>
      </w:r>
    </w:p>
    <w:p w14:paraId="72AD2183" w14:textId="21A3C28B" w:rsidR="00CA3CE7" w:rsidRPr="005F6110" w:rsidRDefault="00CA3CE7"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lastRenderedPageBreak/>
        <w:t>The</w:t>
      </w:r>
      <w:r w:rsidR="00940D6C" w:rsidRPr="005F6110">
        <w:rPr>
          <w:rFonts w:ascii="Times New Roman" w:hAnsi="Times New Roman" w:cs="Times New Roman"/>
          <w:sz w:val="20"/>
          <w:szCs w:val="20"/>
        </w:rPr>
        <w:t xml:space="preserve"> </w:t>
      </w:r>
      <w:r w:rsidR="008C22FE" w:rsidRPr="005F6110">
        <w:rPr>
          <w:rFonts w:ascii="Times New Roman" w:hAnsi="Times New Roman" w:cs="Times New Roman"/>
          <w:sz w:val="20"/>
          <w:szCs w:val="20"/>
        </w:rPr>
        <w:t xml:space="preserve">natural </w:t>
      </w:r>
      <w:r w:rsidR="00075FFE" w:rsidRPr="005F6110">
        <w:rPr>
          <w:rFonts w:ascii="Times New Roman" w:hAnsi="Times New Roman" w:cs="Times New Roman"/>
          <w:sz w:val="20"/>
          <w:szCs w:val="20"/>
        </w:rPr>
        <w:t>r</w:t>
      </w:r>
      <w:r w:rsidRPr="005F6110">
        <w:rPr>
          <w:rFonts w:ascii="Times New Roman" w:hAnsi="Times New Roman" w:cs="Times New Roman"/>
          <w:sz w:val="20"/>
          <w:szCs w:val="20"/>
        </w:rPr>
        <w:t>esource</w:t>
      </w:r>
      <w:r w:rsidR="00893736" w:rsidRPr="005F6110">
        <w:rPr>
          <w:rFonts w:ascii="Times New Roman" w:hAnsi="Times New Roman" w:cs="Times New Roman"/>
          <w:sz w:val="20"/>
          <w:szCs w:val="20"/>
        </w:rPr>
        <w:t xml:space="preserve"> </w:t>
      </w:r>
      <w:r w:rsidRPr="005F6110">
        <w:rPr>
          <w:rFonts w:ascii="Times New Roman" w:hAnsi="Times New Roman" w:cs="Times New Roman"/>
          <w:sz w:val="20"/>
          <w:szCs w:val="20"/>
        </w:rPr>
        <w:t>rents (</w:t>
      </w:r>
      <w:r w:rsidR="00893736" w:rsidRPr="005F6110">
        <w:rPr>
          <w:rFonts w:ascii="Times New Roman" w:hAnsi="Times New Roman" w:cs="Times New Roman"/>
          <w:sz w:val="20"/>
          <w:szCs w:val="20"/>
        </w:rPr>
        <w:t xml:space="preserve">as </w:t>
      </w:r>
      <w:r w:rsidR="00940D6C" w:rsidRPr="005F6110">
        <w:rPr>
          <w:rFonts w:ascii="Times New Roman" w:hAnsi="Times New Roman" w:cs="Times New Roman"/>
          <w:sz w:val="20"/>
          <w:szCs w:val="20"/>
        </w:rPr>
        <w:t>percentage</w:t>
      </w:r>
      <w:r w:rsidRPr="005F6110">
        <w:rPr>
          <w:rFonts w:ascii="Times New Roman" w:hAnsi="Times New Roman" w:cs="Times New Roman"/>
          <w:sz w:val="20"/>
          <w:szCs w:val="20"/>
        </w:rPr>
        <w:t xml:space="preserve"> of GDP)</w:t>
      </w:r>
      <w:r w:rsidR="00893736" w:rsidRPr="005F6110">
        <w:rPr>
          <w:rFonts w:ascii="Times New Roman" w:hAnsi="Times New Roman" w:cs="Times New Roman"/>
          <w:sz w:val="20"/>
          <w:szCs w:val="20"/>
        </w:rPr>
        <w:t>,</w:t>
      </w:r>
      <w:r w:rsidRPr="005F6110">
        <w:rPr>
          <w:rFonts w:ascii="Times New Roman" w:hAnsi="Times New Roman" w:cs="Times New Roman"/>
          <w:sz w:val="20"/>
          <w:szCs w:val="20"/>
        </w:rPr>
        <w:t xml:space="preserve"> which is assumed to</w:t>
      </w:r>
      <w:r w:rsidR="00893736" w:rsidRPr="005F6110">
        <w:rPr>
          <w:rFonts w:ascii="Times New Roman" w:hAnsi="Times New Roman" w:cs="Times New Roman"/>
          <w:sz w:val="20"/>
          <w:szCs w:val="20"/>
        </w:rPr>
        <w:t xml:space="preserve"> be the proxy variable to measure </w:t>
      </w:r>
      <w:r w:rsidR="00940D6C" w:rsidRPr="005F6110">
        <w:rPr>
          <w:rFonts w:ascii="Times New Roman" w:hAnsi="Times New Roman" w:cs="Times New Roman"/>
          <w:sz w:val="20"/>
          <w:szCs w:val="20"/>
        </w:rPr>
        <w:t xml:space="preserve">the </w:t>
      </w:r>
      <w:r w:rsidR="00E66E5E" w:rsidRPr="005F6110">
        <w:rPr>
          <w:rFonts w:ascii="Times New Roman" w:hAnsi="Times New Roman" w:cs="Times New Roman"/>
          <w:sz w:val="20"/>
          <w:szCs w:val="20"/>
        </w:rPr>
        <w:t xml:space="preserve">level of lobbying power </w:t>
      </w:r>
      <w:r w:rsidR="00893736" w:rsidRPr="005F6110">
        <w:rPr>
          <w:rFonts w:ascii="Times New Roman" w:hAnsi="Times New Roman" w:cs="Times New Roman"/>
          <w:sz w:val="20"/>
          <w:szCs w:val="20"/>
        </w:rPr>
        <w:t xml:space="preserve">of </w:t>
      </w:r>
      <w:r w:rsidR="00075FFE" w:rsidRPr="005F6110">
        <w:rPr>
          <w:rFonts w:ascii="Times New Roman" w:hAnsi="Times New Roman" w:cs="Times New Roman"/>
          <w:sz w:val="20"/>
          <w:szCs w:val="20"/>
        </w:rPr>
        <w:t>n</w:t>
      </w:r>
      <w:r w:rsidRPr="005F6110">
        <w:rPr>
          <w:rFonts w:ascii="Times New Roman" w:hAnsi="Times New Roman" w:cs="Times New Roman"/>
          <w:sz w:val="20"/>
          <w:szCs w:val="20"/>
        </w:rPr>
        <w:t>atural resource</w:t>
      </w:r>
      <w:r w:rsidR="00E66E5E" w:rsidRPr="005F6110">
        <w:rPr>
          <w:rFonts w:ascii="Times New Roman" w:hAnsi="Times New Roman" w:cs="Times New Roman"/>
          <w:sz w:val="20"/>
          <w:szCs w:val="20"/>
        </w:rPr>
        <w:t xml:space="preserve"> owners</w:t>
      </w:r>
      <w:r w:rsidR="00893736" w:rsidRPr="005F6110">
        <w:rPr>
          <w:rFonts w:ascii="Times New Roman" w:hAnsi="Times New Roman" w:cs="Times New Roman"/>
          <w:sz w:val="20"/>
          <w:szCs w:val="20"/>
        </w:rPr>
        <w:t>,</w:t>
      </w:r>
      <w:r w:rsidRPr="005F6110">
        <w:rPr>
          <w:rFonts w:ascii="Times New Roman" w:hAnsi="Times New Roman" w:cs="Times New Roman"/>
          <w:sz w:val="20"/>
          <w:szCs w:val="20"/>
        </w:rPr>
        <w:t xml:space="preserve"> is calculated as a composite variable of oil rents, natural gas rents, coal rents</w:t>
      </w:r>
      <w:r w:rsidR="008C22FE" w:rsidRPr="005F6110">
        <w:rPr>
          <w:rFonts w:ascii="Times New Roman" w:hAnsi="Times New Roman" w:cs="Times New Roman"/>
          <w:sz w:val="20"/>
          <w:szCs w:val="20"/>
        </w:rPr>
        <w:t>,</w:t>
      </w:r>
      <w:r w:rsidRPr="005F6110">
        <w:rPr>
          <w:rFonts w:ascii="Times New Roman" w:hAnsi="Times New Roman" w:cs="Times New Roman"/>
          <w:sz w:val="20"/>
          <w:szCs w:val="20"/>
        </w:rPr>
        <w:t xml:space="preserve"> </w:t>
      </w:r>
      <w:r w:rsidR="008C22FE" w:rsidRPr="005F6110">
        <w:rPr>
          <w:rFonts w:ascii="Times New Roman" w:hAnsi="Times New Roman" w:cs="Times New Roman"/>
          <w:sz w:val="20"/>
          <w:szCs w:val="20"/>
        </w:rPr>
        <w:t xml:space="preserve">forest rents, </w:t>
      </w:r>
      <w:r w:rsidRPr="005F6110">
        <w:rPr>
          <w:rFonts w:ascii="Times New Roman" w:hAnsi="Times New Roman" w:cs="Times New Roman"/>
          <w:sz w:val="20"/>
          <w:szCs w:val="20"/>
        </w:rPr>
        <w:t>and mineral rents. For all the f</w:t>
      </w:r>
      <w:r w:rsidR="008C22FE" w:rsidRPr="005F6110">
        <w:rPr>
          <w:rFonts w:ascii="Times New Roman" w:hAnsi="Times New Roman" w:cs="Times New Roman"/>
          <w:sz w:val="20"/>
          <w:szCs w:val="20"/>
        </w:rPr>
        <w:t>ive</w:t>
      </w:r>
      <w:r w:rsidRPr="005F6110">
        <w:rPr>
          <w:rFonts w:ascii="Times New Roman" w:hAnsi="Times New Roman" w:cs="Times New Roman"/>
          <w:sz w:val="20"/>
          <w:szCs w:val="20"/>
        </w:rPr>
        <w:t xml:space="preserve"> components, rents are the difference between the value of production of the natural resource at world prices and t</w:t>
      </w:r>
      <w:r w:rsidR="00893736" w:rsidRPr="005F6110">
        <w:rPr>
          <w:rFonts w:ascii="Times New Roman" w:hAnsi="Times New Roman" w:cs="Times New Roman"/>
          <w:sz w:val="20"/>
          <w:szCs w:val="20"/>
        </w:rPr>
        <w:t>he total cost</w:t>
      </w:r>
      <w:r w:rsidRPr="005F6110">
        <w:rPr>
          <w:rFonts w:ascii="Times New Roman" w:hAnsi="Times New Roman" w:cs="Times New Roman"/>
          <w:sz w:val="20"/>
          <w:szCs w:val="20"/>
        </w:rPr>
        <w:t xml:space="preserve"> of its production.</w:t>
      </w:r>
      <w:r w:rsidR="000E023C" w:rsidRPr="005F6110">
        <w:rPr>
          <w:rFonts w:ascii="Times New Roman" w:hAnsi="Times New Roman" w:cs="Times New Roman"/>
          <w:sz w:val="20"/>
          <w:szCs w:val="20"/>
        </w:rPr>
        <w:t xml:space="preserve"> </w:t>
      </w:r>
      <w:r w:rsidRPr="005F6110">
        <w:rPr>
          <w:rFonts w:ascii="Times New Roman" w:hAnsi="Times New Roman" w:cs="Times New Roman"/>
          <w:sz w:val="20"/>
          <w:szCs w:val="20"/>
        </w:rPr>
        <w:t>Another possible proxy variable that may be used for the</w:t>
      </w:r>
      <w:r w:rsidR="00E66E5E" w:rsidRPr="005F6110">
        <w:rPr>
          <w:sz w:val="20"/>
          <w:szCs w:val="20"/>
        </w:rPr>
        <w:t xml:space="preserve"> </w:t>
      </w:r>
      <w:r w:rsidR="00E66E5E" w:rsidRPr="005F6110">
        <w:rPr>
          <w:rFonts w:ascii="Times New Roman" w:hAnsi="Times New Roman" w:cs="Times New Roman"/>
          <w:sz w:val="20"/>
          <w:szCs w:val="20"/>
        </w:rPr>
        <w:t xml:space="preserve">lobbying power </w:t>
      </w:r>
      <w:r w:rsidRPr="005F6110">
        <w:rPr>
          <w:rFonts w:ascii="Times New Roman" w:hAnsi="Times New Roman" w:cs="Times New Roman"/>
          <w:sz w:val="20"/>
          <w:szCs w:val="20"/>
        </w:rPr>
        <w:t xml:space="preserve">of </w:t>
      </w:r>
      <w:r w:rsidR="00075FFE" w:rsidRPr="005F6110">
        <w:rPr>
          <w:rFonts w:ascii="Times New Roman" w:hAnsi="Times New Roman" w:cs="Times New Roman"/>
          <w:sz w:val="20"/>
          <w:szCs w:val="20"/>
        </w:rPr>
        <w:t>n</w:t>
      </w:r>
      <w:r w:rsidRPr="005F6110">
        <w:rPr>
          <w:rFonts w:ascii="Times New Roman" w:hAnsi="Times New Roman" w:cs="Times New Roman"/>
          <w:sz w:val="20"/>
          <w:szCs w:val="20"/>
        </w:rPr>
        <w:t xml:space="preserve">atural resource owners is the </w:t>
      </w:r>
      <w:r w:rsidR="00075FFE" w:rsidRPr="005F6110">
        <w:rPr>
          <w:rFonts w:ascii="Times New Roman" w:hAnsi="Times New Roman" w:cs="Times New Roman"/>
          <w:sz w:val="20"/>
          <w:szCs w:val="20"/>
        </w:rPr>
        <w:t>f</w:t>
      </w:r>
      <w:r w:rsidRPr="005F6110">
        <w:rPr>
          <w:rFonts w:ascii="Times New Roman" w:hAnsi="Times New Roman" w:cs="Times New Roman"/>
          <w:sz w:val="20"/>
          <w:szCs w:val="20"/>
        </w:rPr>
        <w:t>uel-</w:t>
      </w:r>
      <w:r w:rsidR="00075FFE" w:rsidRPr="005F6110">
        <w:rPr>
          <w:rFonts w:ascii="Times New Roman" w:hAnsi="Times New Roman" w:cs="Times New Roman"/>
          <w:sz w:val="20"/>
          <w:szCs w:val="20"/>
        </w:rPr>
        <w:t>o</w:t>
      </w:r>
      <w:r w:rsidRPr="005F6110">
        <w:rPr>
          <w:rFonts w:ascii="Times New Roman" w:hAnsi="Times New Roman" w:cs="Times New Roman"/>
          <w:sz w:val="20"/>
          <w:szCs w:val="20"/>
        </w:rPr>
        <w:t>re-</w:t>
      </w:r>
      <w:r w:rsidR="00075FFE" w:rsidRPr="005F6110">
        <w:rPr>
          <w:rFonts w:ascii="Times New Roman" w:hAnsi="Times New Roman" w:cs="Times New Roman"/>
          <w:sz w:val="20"/>
          <w:szCs w:val="20"/>
        </w:rPr>
        <w:t>m</w:t>
      </w:r>
      <w:r w:rsidRPr="005F6110">
        <w:rPr>
          <w:rFonts w:ascii="Times New Roman" w:hAnsi="Times New Roman" w:cs="Times New Roman"/>
          <w:sz w:val="20"/>
          <w:szCs w:val="20"/>
        </w:rPr>
        <w:t>etals exports, calculated as a summation of fuel, ores and metals exports. Although the estimation results of these two composite proxy variables are similar,</w:t>
      </w:r>
      <w:r w:rsidR="00E66E5E" w:rsidRPr="005F6110">
        <w:rPr>
          <w:rFonts w:ascii="Times New Roman" w:hAnsi="Times New Roman" w:cs="Times New Roman"/>
          <w:sz w:val="20"/>
          <w:szCs w:val="20"/>
        </w:rPr>
        <w:t xml:space="preserve"> </w:t>
      </w:r>
      <w:r w:rsidR="008C22FE" w:rsidRPr="005F6110">
        <w:rPr>
          <w:rFonts w:ascii="Times New Roman" w:hAnsi="Times New Roman" w:cs="Times New Roman"/>
          <w:sz w:val="20"/>
          <w:szCs w:val="20"/>
        </w:rPr>
        <w:t xml:space="preserve">natural </w:t>
      </w:r>
      <w:r w:rsidR="00075FFE" w:rsidRPr="005F6110">
        <w:rPr>
          <w:rFonts w:ascii="Times New Roman" w:hAnsi="Times New Roman" w:cs="Times New Roman"/>
          <w:sz w:val="20"/>
          <w:szCs w:val="20"/>
        </w:rPr>
        <w:t>r</w:t>
      </w:r>
      <w:r w:rsidRPr="005F6110">
        <w:rPr>
          <w:rFonts w:ascii="Times New Roman" w:hAnsi="Times New Roman" w:cs="Times New Roman"/>
          <w:sz w:val="20"/>
          <w:szCs w:val="20"/>
        </w:rPr>
        <w:t xml:space="preserve">esource rents </w:t>
      </w:r>
      <w:r w:rsidR="00075FFE" w:rsidRPr="005F6110">
        <w:rPr>
          <w:rFonts w:ascii="Times New Roman" w:hAnsi="Times New Roman" w:cs="Times New Roman"/>
          <w:sz w:val="20"/>
          <w:szCs w:val="20"/>
        </w:rPr>
        <w:t>(resource rent in the estimation</w:t>
      </w:r>
      <w:r w:rsidR="00940D6C" w:rsidRPr="005F6110">
        <w:rPr>
          <w:rFonts w:ascii="Times New Roman" w:hAnsi="Times New Roman" w:cs="Times New Roman"/>
          <w:sz w:val="20"/>
          <w:szCs w:val="20"/>
        </w:rPr>
        <w:t xml:space="preserve"> equations</w:t>
      </w:r>
      <w:r w:rsidR="000E023C" w:rsidRPr="005F6110">
        <w:rPr>
          <w:rFonts w:ascii="Times New Roman" w:hAnsi="Times New Roman" w:cs="Times New Roman"/>
          <w:sz w:val="20"/>
          <w:szCs w:val="20"/>
        </w:rPr>
        <w:t xml:space="preserve"> </w:t>
      </w:r>
      <w:r w:rsidR="00E66E5E" w:rsidRPr="005F6110">
        <w:rPr>
          <w:rFonts w:ascii="Times New Roman" w:hAnsi="Times New Roman" w:cs="Times New Roman"/>
          <w:sz w:val="20"/>
          <w:szCs w:val="20"/>
        </w:rPr>
        <w:t xml:space="preserve">and </w:t>
      </w:r>
      <w:r w:rsidR="005647AF" w:rsidRPr="005F6110">
        <w:rPr>
          <w:rFonts w:ascii="Times New Roman" w:hAnsi="Times New Roman" w:cs="Times New Roman"/>
          <w:sz w:val="20"/>
          <w:szCs w:val="20"/>
        </w:rPr>
        <w:t xml:space="preserve">regression </w:t>
      </w:r>
      <w:r w:rsidR="000E023C" w:rsidRPr="005F6110">
        <w:rPr>
          <w:rFonts w:ascii="Times New Roman" w:hAnsi="Times New Roman" w:cs="Times New Roman"/>
          <w:sz w:val="20"/>
          <w:szCs w:val="20"/>
        </w:rPr>
        <w:t>t</w:t>
      </w:r>
      <w:r w:rsidR="00E66E5E" w:rsidRPr="005F6110">
        <w:rPr>
          <w:rFonts w:ascii="Times New Roman" w:hAnsi="Times New Roman" w:cs="Times New Roman"/>
          <w:sz w:val="20"/>
          <w:szCs w:val="20"/>
        </w:rPr>
        <w:t>ables</w:t>
      </w:r>
      <w:r w:rsidR="00075FFE" w:rsidRPr="005F6110">
        <w:rPr>
          <w:rFonts w:ascii="Times New Roman" w:hAnsi="Times New Roman" w:cs="Times New Roman"/>
          <w:sz w:val="20"/>
          <w:szCs w:val="20"/>
        </w:rPr>
        <w:t xml:space="preserve">) </w:t>
      </w:r>
      <w:r w:rsidRPr="005F6110">
        <w:rPr>
          <w:rFonts w:ascii="Times New Roman" w:hAnsi="Times New Roman" w:cs="Times New Roman"/>
          <w:sz w:val="20"/>
          <w:szCs w:val="20"/>
        </w:rPr>
        <w:t>is a better proxy variable</w:t>
      </w:r>
      <w:r w:rsidR="00940D6C"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in terms of identifying the three sectors; </w:t>
      </w:r>
      <w:r w:rsidR="00075FFE" w:rsidRPr="005F6110">
        <w:rPr>
          <w:rFonts w:ascii="Times New Roman" w:hAnsi="Times New Roman" w:cs="Times New Roman"/>
          <w:sz w:val="20"/>
          <w:szCs w:val="20"/>
        </w:rPr>
        <w:t>n</w:t>
      </w:r>
      <w:r w:rsidRPr="005F6110">
        <w:rPr>
          <w:rFonts w:ascii="Times New Roman" w:hAnsi="Times New Roman" w:cs="Times New Roman"/>
          <w:sz w:val="20"/>
          <w:szCs w:val="20"/>
        </w:rPr>
        <w:t>atural resource</w:t>
      </w:r>
      <w:r w:rsidR="00E66E5E" w:rsidRPr="005F6110">
        <w:rPr>
          <w:rFonts w:ascii="Times New Roman" w:hAnsi="Times New Roman" w:cs="Times New Roman"/>
          <w:sz w:val="20"/>
          <w:szCs w:val="20"/>
        </w:rPr>
        <w:t>s</w:t>
      </w:r>
      <w:r w:rsidRPr="005F6110">
        <w:rPr>
          <w:rFonts w:ascii="Times New Roman" w:hAnsi="Times New Roman" w:cs="Times New Roman"/>
          <w:sz w:val="20"/>
          <w:szCs w:val="20"/>
        </w:rPr>
        <w:t xml:space="preserve">, </w:t>
      </w:r>
      <w:r w:rsidR="00075FFE" w:rsidRPr="005F6110">
        <w:rPr>
          <w:rFonts w:ascii="Times New Roman" w:hAnsi="Times New Roman" w:cs="Times New Roman"/>
          <w:sz w:val="20"/>
          <w:szCs w:val="20"/>
        </w:rPr>
        <w:t>m</w:t>
      </w:r>
      <w:r w:rsidRPr="005F6110">
        <w:rPr>
          <w:rFonts w:ascii="Times New Roman" w:hAnsi="Times New Roman" w:cs="Times New Roman"/>
          <w:sz w:val="20"/>
          <w:szCs w:val="20"/>
        </w:rPr>
        <w:t xml:space="preserve">anufacturing and </w:t>
      </w:r>
      <w:r w:rsidR="00075FFE" w:rsidRPr="005F6110">
        <w:rPr>
          <w:rFonts w:ascii="Times New Roman" w:hAnsi="Times New Roman" w:cs="Times New Roman"/>
          <w:sz w:val="20"/>
          <w:szCs w:val="20"/>
        </w:rPr>
        <w:t>a</w:t>
      </w:r>
      <w:r w:rsidRPr="005F6110">
        <w:rPr>
          <w:rFonts w:ascii="Times New Roman" w:hAnsi="Times New Roman" w:cs="Times New Roman"/>
          <w:sz w:val="20"/>
          <w:szCs w:val="20"/>
        </w:rPr>
        <w:t>griculture separate</w:t>
      </w:r>
      <w:r w:rsidR="00E66E5E"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from each other, for the coverage of </w:t>
      </w:r>
      <w:r w:rsidR="00075FFE" w:rsidRPr="005F6110">
        <w:rPr>
          <w:rFonts w:ascii="Times New Roman" w:hAnsi="Times New Roman" w:cs="Times New Roman"/>
          <w:sz w:val="20"/>
          <w:szCs w:val="20"/>
        </w:rPr>
        <w:t>f</w:t>
      </w:r>
      <w:r w:rsidRPr="005F6110">
        <w:rPr>
          <w:rFonts w:ascii="Times New Roman" w:hAnsi="Times New Roman" w:cs="Times New Roman"/>
          <w:sz w:val="20"/>
          <w:szCs w:val="20"/>
        </w:rPr>
        <w:t>uel-</w:t>
      </w:r>
      <w:r w:rsidR="00075FFE" w:rsidRPr="005F6110">
        <w:rPr>
          <w:rFonts w:ascii="Times New Roman" w:hAnsi="Times New Roman" w:cs="Times New Roman"/>
          <w:sz w:val="20"/>
          <w:szCs w:val="20"/>
        </w:rPr>
        <w:t>o</w:t>
      </w:r>
      <w:r w:rsidRPr="005F6110">
        <w:rPr>
          <w:rFonts w:ascii="Times New Roman" w:hAnsi="Times New Roman" w:cs="Times New Roman"/>
          <w:sz w:val="20"/>
          <w:szCs w:val="20"/>
        </w:rPr>
        <w:t>re-</w:t>
      </w:r>
      <w:r w:rsidR="00075FFE" w:rsidRPr="005F6110">
        <w:rPr>
          <w:rFonts w:ascii="Times New Roman" w:hAnsi="Times New Roman" w:cs="Times New Roman"/>
          <w:sz w:val="20"/>
          <w:szCs w:val="20"/>
        </w:rPr>
        <w:t>m</w:t>
      </w:r>
      <w:r w:rsidRPr="005F6110">
        <w:rPr>
          <w:rFonts w:ascii="Times New Roman" w:hAnsi="Times New Roman" w:cs="Times New Roman"/>
          <w:sz w:val="20"/>
          <w:szCs w:val="20"/>
        </w:rPr>
        <w:t xml:space="preserve">etals exports includes some manufactured natural resource products used in metallurgy and cermet industries. </w:t>
      </w:r>
    </w:p>
    <w:p w14:paraId="226B0592" w14:textId="77777777" w:rsidR="005647AF" w:rsidRPr="005F6110" w:rsidRDefault="00CA3CE7"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Manufacture exports</w:t>
      </w:r>
      <w:r w:rsidR="00095C15" w:rsidRPr="005F6110">
        <w:rPr>
          <w:rFonts w:ascii="Times New Roman" w:hAnsi="Times New Roman" w:cs="Times New Roman"/>
          <w:sz w:val="20"/>
          <w:szCs w:val="20"/>
        </w:rPr>
        <w:t xml:space="preserve"> </w:t>
      </w:r>
      <w:r w:rsidR="00146277" w:rsidRPr="005F6110">
        <w:rPr>
          <w:rFonts w:ascii="Times New Roman" w:hAnsi="Times New Roman" w:cs="Times New Roman"/>
          <w:sz w:val="20"/>
          <w:szCs w:val="20"/>
        </w:rPr>
        <w:t>are</w:t>
      </w:r>
      <w:r w:rsidRPr="005F6110">
        <w:rPr>
          <w:rFonts w:ascii="Times New Roman" w:hAnsi="Times New Roman" w:cs="Times New Roman"/>
          <w:sz w:val="20"/>
          <w:szCs w:val="20"/>
        </w:rPr>
        <w:t xml:space="preserve"> </w:t>
      </w:r>
      <w:r w:rsidR="00534CB5" w:rsidRPr="005F6110">
        <w:rPr>
          <w:rFonts w:ascii="Times New Roman" w:hAnsi="Times New Roman" w:cs="Times New Roman"/>
          <w:sz w:val="20"/>
          <w:szCs w:val="20"/>
        </w:rPr>
        <w:t>use</w:t>
      </w:r>
      <w:r w:rsidR="00146277" w:rsidRPr="005F6110">
        <w:rPr>
          <w:rFonts w:ascii="Times New Roman" w:hAnsi="Times New Roman" w:cs="Times New Roman"/>
          <w:sz w:val="20"/>
          <w:szCs w:val="20"/>
        </w:rPr>
        <w:t>d</w:t>
      </w:r>
      <w:r w:rsidR="00534CB5"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to </w:t>
      </w:r>
      <w:r w:rsidR="00534CB5" w:rsidRPr="005F6110">
        <w:rPr>
          <w:rFonts w:ascii="Times New Roman" w:hAnsi="Times New Roman" w:cs="Times New Roman"/>
          <w:sz w:val="20"/>
          <w:szCs w:val="20"/>
        </w:rPr>
        <w:t xml:space="preserve">proxy </w:t>
      </w:r>
      <w:r w:rsidRPr="005F6110">
        <w:rPr>
          <w:rFonts w:ascii="Times New Roman" w:hAnsi="Times New Roman" w:cs="Times New Roman"/>
          <w:sz w:val="20"/>
          <w:szCs w:val="20"/>
        </w:rPr>
        <w:t xml:space="preserve">the </w:t>
      </w:r>
      <w:r w:rsidR="00E66E5E" w:rsidRPr="005F6110">
        <w:rPr>
          <w:rFonts w:ascii="Times New Roman" w:hAnsi="Times New Roman" w:cs="Times New Roman"/>
          <w:sz w:val="20"/>
          <w:szCs w:val="20"/>
        </w:rPr>
        <w:t xml:space="preserve">lobbying power </w:t>
      </w:r>
      <w:r w:rsidRPr="005F6110">
        <w:rPr>
          <w:rFonts w:ascii="Times New Roman" w:hAnsi="Times New Roman" w:cs="Times New Roman"/>
          <w:sz w:val="20"/>
          <w:szCs w:val="20"/>
        </w:rPr>
        <w:t xml:space="preserve">that the </w:t>
      </w:r>
      <w:r w:rsidR="008C22FE" w:rsidRPr="005F6110">
        <w:rPr>
          <w:rFonts w:ascii="Times New Roman" w:hAnsi="Times New Roman" w:cs="Times New Roman"/>
          <w:sz w:val="20"/>
          <w:szCs w:val="20"/>
        </w:rPr>
        <w:t>m</w:t>
      </w:r>
      <w:r w:rsidR="00534CB5" w:rsidRPr="005F6110">
        <w:rPr>
          <w:rFonts w:ascii="Times New Roman" w:hAnsi="Times New Roman" w:cs="Times New Roman"/>
          <w:sz w:val="20"/>
          <w:szCs w:val="20"/>
        </w:rPr>
        <w:t>anufacturers possess. Ano</w:t>
      </w:r>
      <w:r w:rsidRPr="005F6110">
        <w:rPr>
          <w:rFonts w:ascii="Times New Roman" w:hAnsi="Times New Roman" w:cs="Times New Roman"/>
          <w:sz w:val="20"/>
          <w:szCs w:val="20"/>
        </w:rPr>
        <w:t xml:space="preserve">ther possible macroeconomic indicator for this purpose </w:t>
      </w:r>
      <w:r w:rsidR="00534CB5" w:rsidRPr="005F6110">
        <w:rPr>
          <w:rFonts w:ascii="Times New Roman" w:hAnsi="Times New Roman" w:cs="Times New Roman"/>
          <w:sz w:val="20"/>
          <w:szCs w:val="20"/>
        </w:rPr>
        <w:t xml:space="preserve">is </w:t>
      </w:r>
      <w:r w:rsidR="008C22FE" w:rsidRPr="005F6110">
        <w:rPr>
          <w:rFonts w:ascii="Times New Roman" w:hAnsi="Times New Roman" w:cs="Times New Roman"/>
          <w:sz w:val="20"/>
          <w:szCs w:val="20"/>
        </w:rPr>
        <w:t>m</w:t>
      </w:r>
      <w:r w:rsidRPr="005F6110">
        <w:rPr>
          <w:rFonts w:ascii="Times New Roman" w:hAnsi="Times New Roman" w:cs="Times New Roman"/>
          <w:sz w:val="20"/>
          <w:szCs w:val="20"/>
        </w:rPr>
        <w:t xml:space="preserve">anufacturing value added. Manufacture exports broadly cover chemicals, basic manufactures, machinery and transport equipment, and miscellaneous manufactured goods, while </w:t>
      </w:r>
      <w:r w:rsidR="008C22FE" w:rsidRPr="005F6110">
        <w:rPr>
          <w:rFonts w:ascii="Times New Roman" w:hAnsi="Times New Roman" w:cs="Times New Roman"/>
          <w:sz w:val="20"/>
          <w:szCs w:val="20"/>
        </w:rPr>
        <w:t>m</w:t>
      </w:r>
      <w:r w:rsidRPr="005F6110">
        <w:rPr>
          <w:rFonts w:ascii="Times New Roman" w:hAnsi="Times New Roman" w:cs="Times New Roman"/>
          <w:sz w:val="20"/>
          <w:szCs w:val="20"/>
        </w:rPr>
        <w:t>anufacturing value added includes manufactures of agricultural products</w:t>
      </w:r>
      <w:r w:rsidR="00940D6C" w:rsidRPr="005F6110">
        <w:rPr>
          <w:rFonts w:ascii="Times New Roman" w:hAnsi="Times New Roman" w:cs="Times New Roman"/>
          <w:sz w:val="20"/>
          <w:szCs w:val="20"/>
        </w:rPr>
        <w:t>, hence if manufacturing value added was used as the proxy variable there would be an overlap between the manufacturing sector and agriculture sector. Therefore</w:t>
      </w:r>
      <w:r w:rsidRPr="005F6110">
        <w:rPr>
          <w:rFonts w:ascii="Times New Roman" w:hAnsi="Times New Roman" w:cs="Times New Roman"/>
          <w:sz w:val="20"/>
          <w:szCs w:val="20"/>
        </w:rPr>
        <w:t xml:space="preserve">, </w:t>
      </w:r>
      <w:r w:rsidR="008C22FE" w:rsidRPr="005F6110">
        <w:rPr>
          <w:rFonts w:ascii="Times New Roman" w:hAnsi="Times New Roman" w:cs="Times New Roman"/>
          <w:sz w:val="20"/>
          <w:szCs w:val="20"/>
        </w:rPr>
        <w:t>m</w:t>
      </w:r>
      <w:r w:rsidRPr="005F6110">
        <w:rPr>
          <w:rFonts w:ascii="Times New Roman" w:hAnsi="Times New Roman" w:cs="Times New Roman"/>
          <w:sz w:val="20"/>
          <w:szCs w:val="20"/>
        </w:rPr>
        <w:t>anufacture</w:t>
      </w:r>
      <w:r w:rsidR="008C22FE"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exports provide a better representation of the </w:t>
      </w:r>
      <w:r w:rsidR="008C22FE" w:rsidRPr="005F6110">
        <w:rPr>
          <w:rFonts w:ascii="Times New Roman" w:hAnsi="Times New Roman" w:cs="Times New Roman"/>
          <w:sz w:val="20"/>
          <w:szCs w:val="20"/>
        </w:rPr>
        <w:t>m</w:t>
      </w:r>
      <w:r w:rsidRPr="005F6110">
        <w:rPr>
          <w:rFonts w:ascii="Times New Roman" w:hAnsi="Times New Roman" w:cs="Times New Roman"/>
          <w:sz w:val="20"/>
          <w:szCs w:val="20"/>
        </w:rPr>
        <w:t>anufacturing sector.</w:t>
      </w:r>
      <w:r w:rsidR="008C22FE" w:rsidRPr="005F6110">
        <w:rPr>
          <w:rFonts w:ascii="Times New Roman" w:hAnsi="Times New Roman" w:cs="Times New Roman"/>
          <w:sz w:val="20"/>
          <w:szCs w:val="20"/>
        </w:rPr>
        <w:t xml:space="preserve"> </w:t>
      </w:r>
    </w:p>
    <w:p w14:paraId="76EB9007" w14:textId="7EC178EB" w:rsidR="00CA3CE7" w:rsidRPr="005F6110" w:rsidRDefault="00CA3CE7"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 xml:space="preserve">Agriculture value added, the </w:t>
      </w:r>
      <w:r w:rsidR="00534CB5" w:rsidRPr="005F6110">
        <w:rPr>
          <w:rFonts w:ascii="Times New Roman" w:hAnsi="Times New Roman" w:cs="Times New Roman"/>
          <w:sz w:val="20"/>
          <w:szCs w:val="20"/>
        </w:rPr>
        <w:t>assumed proxy variable to measure</w:t>
      </w:r>
      <w:r w:rsidRPr="005F6110">
        <w:rPr>
          <w:rFonts w:ascii="Times New Roman" w:hAnsi="Times New Roman" w:cs="Times New Roman"/>
          <w:sz w:val="20"/>
          <w:szCs w:val="20"/>
        </w:rPr>
        <w:t xml:space="preserve"> the </w:t>
      </w:r>
      <w:r w:rsidR="00E66E5E" w:rsidRPr="005F6110">
        <w:rPr>
          <w:rFonts w:ascii="Times New Roman" w:hAnsi="Times New Roman" w:cs="Times New Roman"/>
          <w:sz w:val="20"/>
          <w:szCs w:val="20"/>
        </w:rPr>
        <w:t xml:space="preserve">lobbying power </w:t>
      </w:r>
      <w:r w:rsidRPr="005F6110">
        <w:rPr>
          <w:rFonts w:ascii="Times New Roman" w:hAnsi="Times New Roman" w:cs="Times New Roman"/>
          <w:sz w:val="20"/>
          <w:szCs w:val="20"/>
        </w:rPr>
        <w:t xml:space="preserve">that the </w:t>
      </w:r>
      <w:r w:rsidR="008C22FE" w:rsidRPr="005F6110">
        <w:rPr>
          <w:rFonts w:ascii="Times New Roman" w:hAnsi="Times New Roman" w:cs="Times New Roman"/>
          <w:sz w:val="20"/>
          <w:szCs w:val="20"/>
        </w:rPr>
        <w:t>l</w:t>
      </w:r>
      <w:r w:rsidRPr="005F6110">
        <w:rPr>
          <w:rFonts w:ascii="Times New Roman" w:hAnsi="Times New Roman" w:cs="Times New Roman"/>
          <w:sz w:val="20"/>
          <w:szCs w:val="20"/>
        </w:rPr>
        <w:t>andowners possess, inc</w:t>
      </w:r>
      <w:r w:rsidR="008C22FE" w:rsidRPr="005F6110">
        <w:rPr>
          <w:rFonts w:ascii="Times New Roman" w:hAnsi="Times New Roman" w:cs="Times New Roman"/>
          <w:sz w:val="20"/>
          <w:szCs w:val="20"/>
        </w:rPr>
        <w:t xml:space="preserve">ludes the value added amounts of </w:t>
      </w:r>
      <w:r w:rsidRPr="005F6110">
        <w:rPr>
          <w:rFonts w:ascii="Times New Roman" w:hAnsi="Times New Roman" w:cs="Times New Roman"/>
          <w:sz w:val="20"/>
          <w:szCs w:val="20"/>
        </w:rPr>
        <w:t xml:space="preserve">hunting, fishing, cultivation of </w:t>
      </w:r>
      <w:r w:rsidR="000E023C" w:rsidRPr="005F6110">
        <w:rPr>
          <w:rFonts w:ascii="Times New Roman" w:hAnsi="Times New Roman" w:cs="Times New Roman"/>
          <w:sz w:val="20"/>
          <w:szCs w:val="20"/>
        </w:rPr>
        <w:t xml:space="preserve">agricultural </w:t>
      </w:r>
      <w:r w:rsidRPr="005F6110">
        <w:rPr>
          <w:rFonts w:ascii="Times New Roman" w:hAnsi="Times New Roman" w:cs="Times New Roman"/>
          <w:sz w:val="20"/>
          <w:szCs w:val="20"/>
        </w:rPr>
        <w:t xml:space="preserve">crops, and livestock production. </w:t>
      </w:r>
      <w:r w:rsidR="00146277" w:rsidRPr="005F6110">
        <w:rPr>
          <w:rFonts w:ascii="Times New Roman" w:hAnsi="Times New Roman" w:cs="Times New Roman"/>
          <w:sz w:val="20"/>
          <w:szCs w:val="20"/>
        </w:rPr>
        <w:t>Another possible indicator that</w:t>
      </w:r>
      <w:r w:rsidR="00534CB5" w:rsidRPr="005F6110">
        <w:rPr>
          <w:rFonts w:ascii="Times New Roman" w:hAnsi="Times New Roman" w:cs="Times New Roman"/>
          <w:sz w:val="20"/>
          <w:szCs w:val="20"/>
        </w:rPr>
        <w:t xml:space="preserve"> could </w:t>
      </w:r>
      <w:r w:rsidR="00146277" w:rsidRPr="005F6110">
        <w:rPr>
          <w:rFonts w:ascii="Times New Roman" w:hAnsi="Times New Roman" w:cs="Times New Roman"/>
          <w:sz w:val="20"/>
          <w:szCs w:val="20"/>
        </w:rPr>
        <w:t xml:space="preserve">have </w:t>
      </w:r>
      <w:r w:rsidR="00534CB5" w:rsidRPr="005F6110">
        <w:rPr>
          <w:rFonts w:ascii="Times New Roman" w:hAnsi="Times New Roman" w:cs="Times New Roman"/>
          <w:sz w:val="20"/>
          <w:szCs w:val="20"/>
        </w:rPr>
        <w:t>potentially be</w:t>
      </w:r>
      <w:r w:rsidR="00146277" w:rsidRPr="005F6110">
        <w:rPr>
          <w:rFonts w:ascii="Times New Roman" w:hAnsi="Times New Roman" w:cs="Times New Roman"/>
          <w:sz w:val="20"/>
          <w:szCs w:val="20"/>
        </w:rPr>
        <w:t>en</w:t>
      </w:r>
      <w:r w:rsidR="00534CB5" w:rsidRPr="005F6110">
        <w:rPr>
          <w:rFonts w:ascii="Times New Roman" w:hAnsi="Times New Roman" w:cs="Times New Roman"/>
          <w:sz w:val="20"/>
          <w:szCs w:val="20"/>
        </w:rPr>
        <w:t xml:space="preserve"> used as a proxy would have been</w:t>
      </w:r>
      <w:r w:rsidRPr="005F6110">
        <w:rPr>
          <w:rFonts w:ascii="Times New Roman" w:hAnsi="Times New Roman" w:cs="Times New Roman"/>
          <w:sz w:val="20"/>
          <w:szCs w:val="20"/>
        </w:rPr>
        <w:t xml:space="preserve"> </w:t>
      </w:r>
      <w:r w:rsidR="008C22FE" w:rsidRPr="005F6110">
        <w:rPr>
          <w:rFonts w:ascii="Times New Roman" w:hAnsi="Times New Roman" w:cs="Times New Roman"/>
          <w:sz w:val="20"/>
          <w:szCs w:val="20"/>
        </w:rPr>
        <w:t>a</w:t>
      </w:r>
      <w:r w:rsidRPr="005F6110">
        <w:rPr>
          <w:rFonts w:ascii="Times New Roman" w:hAnsi="Times New Roman" w:cs="Times New Roman"/>
          <w:sz w:val="20"/>
          <w:szCs w:val="20"/>
        </w:rPr>
        <w:t xml:space="preserve">gricultural raw materials exports, but this variable only includes crude materials, so its coverage is not as good as the coverage of </w:t>
      </w:r>
      <w:r w:rsidR="008C22FE" w:rsidRPr="005F6110">
        <w:rPr>
          <w:rFonts w:ascii="Times New Roman" w:hAnsi="Times New Roman" w:cs="Times New Roman"/>
          <w:sz w:val="20"/>
          <w:szCs w:val="20"/>
        </w:rPr>
        <w:t>a</w:t>
      </w:r>
      <w:r w:rsidRPr="005F6110">
        <w:rPr>
          <w:rFonts w:ascii="Times New Roman" w:hAnsi="Times New Roman" w:cs="Times New Roman"/>
          <w:sz w:val="20"/>
          <w:szCs w:val="20"/>
        </w:rPr>
        <w:t xml:space="preserve">griculture value added in terms of representing the </w:t>
      </w:r>
      <w:r w:rsidR="008C22FE" w:rsidRPr="005F6110">
        <w:rPr>
          <w:rFonts w:ascii="Times New Roman" w:hAnsi="Times New Roman" w:cs="Times New Roman"/>
          <w:sz w:val="20"/>
          <w:szCs w:val="20"/>
        </w:rPr>
        <w:t>a</w:t>
      </w:r>
      <w:r w:rsidRPr="005F6110">
        <w:rPr>
          <w:rFonts w:ascii="Times New Roman" w:hAnsi="Times New Roman" w:cs="Times New Roman"/>
          <w:sz w:val="20"/>
          <w:szCs w:val="20"/>
        </w:rPr>
        <w:t xml:space="preserve">griculture sector production in an accurate </w:t>
      </w:r>
      <w:r w:rsidR="00E66E5E" w:rsidRPr="005F6110">
        <w:rPr>
          <w:rFonts w:ascii="Times New Roman" w:hAnsi="Times New Roman" w:cs="Times New Roman"/>
          <w:sz w:val="20"/>
          <w:szCs w:val="20"/>
        </w:rPr>
        <w:t>and comprehensive</w:t>
      </w:r>
      <w:r w:rsidR="00BF6355"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way. </w:t>
      </w:r>
    </w:p>
    <w:p w14:paraId="46015D0C" w14:textId="73EADDBD" w:rsidR="00CA3CE7" w:rsidRPr="005F6110" w:rsidRDefault="00CA3CE7"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 xml:space="preserve">There are </w:t>
      </w:r>
      <w:r w:rsidR="005647AF" w:rsidRPr="005F6110">
        <w:rPr>
          <w:rFonts w:ascii="Times New Roman" w:hAnsi="Times New Roman" w:cs="Times New Roman"/>
          <w:sz w:val="20"/>
          <w:szCs w:val="20"/>
        </w:rPr>
        <w:t>five</w:t>
      </w:r>
      <w:r w:rsidRPr="005F6110">
        <w:rPr>
          <w:rFonts w:ascii="Times New Roman" w:hAnsi="Times New Roman" w:cs="Times New Roman"/>
          <w:sz w:val="20"/>
          <w:szCs w:val="20"/>
        </w:rPr>
        <w:t xml:space="preserve"> governance quality indicators, political stability</w:t>
      </w:r>
      <w:r w:rsidR="00940D6C" w:rsidRPr="005F6110">
        <w:rPr>
          <w:rFonts w:ascii="Times New Roman" w:hAnsi="Times New Roman" w:cs="Times New Roman"/>
          <w:sz w:val="20"/>
          <w:szCs w:val="20"/>
        </w:rPr>
        <w:t>-</w:t>
      </w:r>
      <w:r w:rsidRPr="005F6110">
        <w:rPr>
          <w:rFonts w:ascii="Times New Roman" w:hAnsi="Times New Roman" w:cs="Times New Roman"/>
          <w:sz w:val="20"/>
          <w:szCs w:val="20"/>
        </w:rPr>
        <w:t>absence of violence (</w:t>
      </w:r>
      <w:proofErr w:type="spellStart"/>
      <w:r w:rsidRPr="005F6110">
        <w:rPr>
          <w:rFonts w:ascii="Times New Roman" w:hAnsi="Times New Roman" w:cs="Times New Roman"/>
          <w:sz w:val="20"/>
          <w:szCs w:val="20"/>
        </w:rPr>
        <w:t>pol</w:t>
      </w:r>
      <w:r w:rsidR="005647AF" w:rsidRPr="005F6110">
        <w:rPr>
          <w:rFonts w:ascii="Times New Roman" w:hAnsi="Times New Roman" w:cs="Times New Roman"/>
          <w:sz w:val="20"/>
          <w:szCs w:val="20"/>
        </w:rPr>
        <w:t>itical</w:t>
      </w:r>
      <w:r w:rsidRPr="005F6110">
        <w:rPr>
          <w:rFonts w:ascii="Times New Roman" w:hAnsi="Times New Roman" w:cs="Times New Roman"/>
          <w:sz w:val="20"/>
          <w:szCs w:val="20"/>
        </w:rPr>
        <w:t>stab</w:t>
      </w:r>
      <w:r w:rsidR="005647AF" w:rsidRPr="005F6110">
        <w:rPr>
          <w:rFonts w:ascii="Times New Roman" w:hAnsi="Times New Roman" w:cs="Times New Roman"/>
          <w:sz w:val="20"/>
          <w:szCs w:val="20"/>
        </w:rPr>
        <w:t>ility</w:t>
      </w:r>
      <w:proofErr w:type="spellEnd"/>
      <w:r w:rsidR="00BF6355" w:rsidRPr="005F6110">
        <w:rPr>
          <w:rFonts w:ascii="Times New Roman" w:hAnsi="Times New Roman" w:cs="Times New Roman"/>
          <w:sz w:val="20"/>
          <w:szCs w:val="20"/>
        </w:rPr>
        <w:t xml:space="preserve"> </w:t>
      </w:r>
      <w:r w:rsidR="00095C15" w:rsidRPr="005F6110">
        <w:rPr>
          <w:rFonts w:ascii="Times New Roman" w:hAnsi="Times New Roman" w:cs="Times New Roman"/>
          <w:sz w:val="20"/>
          <w:szCs w:val="20"/>
        </w:rPr>
        <w:t xml:space="preserve">in </w:t>
      </w:r>
      <w:r w:rsidR="005647AF" w:rsidRPr="005F6110">
        <w:rPr>
          <w:rFonts w:ascii="Times New Roman" w:hAnsi="Times New Roman" w:cs="Times New Roman"/>
          <w:sz w:val="20"/>
          <w:szCs w:val="20"/>
        </w:rPr>
        <w:t>regression t</w:t>
      </w:r>
      <w:r w:rsidR="00095C15" w:rsidRPr="005F6110">
        <w:rPr>
          <w:rFonts w:ascii="Times New Roman" w:hAnsi="Times New Roman" w:cs="Times New Roman"/>
          <w:sz w:val="20"/>
          <w:szCs w:val="20"/>
        </w:rPr>
        <w:t>ables</w:t>
      </w:r>
      <w:r w:rsidRPr="005F6110">
        <w:rPr>
          <w:rFonts w:ascii="Times New Roman" w:hAnsi="Times New Roman" w:cs="Times New Roman"/>
          <w:sz w:val="20"/>
          <w:szCs w:val="20"/>
        </w:rPr>
        <w:t>), regulatory quality (</w:t>
      </w:r>
      <w:proofErr w:type="spellStart"/>
      <w:r w:rsidRPr="005F6110">
        <w:rPr>
          <w:rFonts w:ascii="Times New Roman" w:hAnsi="Times New Roman" w:cs="Times New Roman"/>
          <w:sz w:val="20"/>
          <w:szCs w:val="20"/>
        </w:rPr>
        <w:t>regquality</w:t>
      </w:r>
      <w:proofErr w:type="spellEnd"/>
      <w:r w:rsidR="00095C15" w:rsidRPr="005F6110">
        <w:rPr>
          <w:rFonts w:ascii="Times New Roman" w:hAnsi="Times New Roman" w:cs="Times New Roman"/>
          <w:sz w:val="20"/>
          <w:szCs w:val="20"/>
        </w:rPr>
        <w:t xml:space="preserve"> in</w:t>
      </w:r>
      <w:r w:rsidR="00BF6355" w:rsidRPr="005F6110">
        <w:rPr>
          <w:rFonts w:ascii="Times New Roman" w:hAnsi="Times New Roman" w:cs="Times New Roman"/>
          <w:sz w:val="20"/>
          <w:szCs w:val="20"/>
        </w:rPr>
        <w:t xml:space="preserve"> </w:t>
      </w:r>
      <w:r w:rsidR="005647AF" w:rsidRPr="005F6110">
        <w:rPr>
          <w:rFonts w:ascii="Times New Roman" w:hAnsi="Times New Roman" w:cs="Times New Roman"/>
          <w:sz w:val="20"/>
          <w:szCs w:val="20"/>
        </w:rPr>
        <w:t>regression t</w:t>
      </w:r>
      <w:r w:rsidR="00BF6355" w:rsidRPr="005F6110">
        <w:rPr>
          <w:rFonts w:ascii="Times New Roman" w:hAnsi="Times New Roman" w:cs="Times New Roman"/>
          <w:sz w:val="20"/>
          <w:szCs w:val="20"/>
        </w:rPr>
        <w:t>ables</w:t>
      </w:r>
      <w:r w:rsidRPr="005F6110">
        <w:rPr>
          <w:rFonts w:ascii="Times New Roman" w:hAnsi="Times New Roman" w:cs="Times New Roman"/>
          <w:sz w:val="20"/>
          <w:szCs w:val="20"/>
        </w:rPr>
        <w:t>),</w:t>
      </w:r>
      <w:r w:rsidR="005647AF" w:rsidRPr="005F6110">
        <w:rPr>
          <w:rFonts w:ascii="Times New Roman" w:hAnsi="Times New Roman" w:cs="Times New Roman"/>
          <w:sz w:val="20"/>
          <w:szCs w:val="20"/>
        </w:rPr>
        <w:t xml:space="preserve"> </w:t>
      </w:r>
      <w:r w:rsidRPr="005F6110">
        <w:rPr>
          <w:rFonts w:ascii="Times New Roman" w:hAnsi="Times New Roman" w:cs="Times New Roman"/>
          <w:sz w:val="20"/>
          <w:szCs w:val="20"/>
        </w:rPr>
        <w:t>rule of law (</w:t>
      </w:r>
      <w:proofErr w:type="spellStart"/>
      <w:r w:rsidRPr="005F6110">
        <w:rPr>
          <w:rFonts w:ascii="Times New Roman" w:hAnsi="Times New Roman" w:cs="Times New Roman"/>
          <w:sz w:val="20"/>
          <w:szCs w:val="20"/>
        </w:rPr>
        <w:t>rule</w:t>
      </w:r>
      <w:r w:rsidR="008C22FE" w:rsidRPr="005F6110">
        <w:rPr>
          <w:rFonts w:ascii="Times New Roman" w:hAnsi="Times New Roman" w:cs="Times New Roman"/>
          <w:sz w:val="20"/>
          <w:szCs w:val="20"/>
        </w:rPr>
        <w:t>of</w:t>
      </w:r>
      <w:r w:rsidRPr="005F6110">
        <w:rPr>
          <w:rFonts w:ascii="Times New Roman" w:hAnsi="Times New Roman" w:cs="Times New Roman"/>
          <w:sz w:val="20"/>
          <w:szCs w:val="20"/>
        </w:rPr>
        <w:t>law</w:t>
      </w:r>
      <w:proofErr w:type="spellEnd"/>
      <w:r w:rsidR="00095C15" w:rsidRPr="005F6110">
        <w:rPr>
          <w:rFonts w:ascii="Times New Roman" w:hAnsi="Times New Roman" w:cs="Times New Roman"/>
          <w:sz w:val="20"/>
          <w:szCs w:val="20"/>
        </w:rPr>
        <w:t xml:space="preserve"> in</w:t>
      </w:r>
      <w:r w:rsidR="00BF6355" w:rsidRPr="005F6110">
        <w:rPr>
          <w:sz w:val="20"/>
          <w:szCs w:val="20"/>
        </w:rPr>
        <w:t xml:space="preserve"> </w:t>
      </w:r>
      <w:r w:rsidR="005647AF" w:rsidRPr="005F6110">
        <w:rPr>
          <w:rFonts w:ascii="Times New Roman" w:hAnsi="Times New Roman" w:cs="Times New Roman"/>
          <w:sz w:val="20"/>
          <w:szCs w:val="20"/>
        </w:rPr>
        <w:t>regression t</w:t>
      </w:r>
      <w:r w:rsidR="00BF6355" w:rsidRPr="005F6110">
        <w:rPr>
          <w:rFonts w:ascii="Times New Roman" w:hAnsi="Times New Roman" w:cs="Times New Roman"/>
          <w:sz w:val="20"/>
          <w:szCs w:val="20"/>
        </w:rPr>
        <w:t>ables</w:t>
      </w:r>
      <w:r w:rsidRPr="005F6110">
        <w:rPr>
          <w:rFonts w:ascii="Times New Roman" w:hAnsi="Times New Roman" w:cs="Times New Roman"/>
          <w:sz w:val="20"/>
          <w:szCs w:val="20"/>
        </w:rPr>
        <w:t xml:space="preserve">), </w:t>
      </w:r>
      <w:r w:rsidR="005647AF" w:rsidRPr="005F6110">
        <w:rPr>
          <w:rFonts w:ascii="Times New Roman" w:hAnsi="Times New Roman" w:cs="Times New Roman"/>
          <w:sz w:val="20"/>
          <w:szCs w:val="20"/>
        </w:rPr>
        <w:t>corruption control (corruption in regression tables), and government effectiveness (</w:t>
      </w:r>
      <w:proofErr w:type="spellStart"/>
      <w:r w:rsidR="005647AF" w:rsidRPr="005F6110">
        <w:rPr>
          <w:rFonts w:ascii="Times New Roman" w:hAnsi="Times New Roman" w:cs="Times New Roman"/>
          <w:sz w:val="20"/>
          <w:szCs w:val="20"/>
        </w:rPr>
        <w:t>govteffectiveness</w:t>
      </w:r>
      <w:proofErr w:type="spellEnd"/>
      <w:r w:rsidR="005647AF" w:rsidRPr="005F6110">
        <w:rPr>
          <w:rFonts w:ascii="Times New Roman" w:hAnsi="Times New Roman" w:cs="Times New Roman"/>
          <w:sz w:val="20"/>
          <w:szCs w:val="20"/>
        </w:rPr>
        <w:t xml:space="preserve"> in regression tables), </w:t>
      </w:r>
      <w:r w:rsidRPr="005F6110">
        <w:rPr>
          <w:rFonts w:ascii="Times New Roman" w:hAnsi="Times New Roman" w:cs="Times New Roman"/>
          <w:sz w:val="20"/>
          <w:szCs w:val="20"/>
        </w:rPr>
        <w:t>used in regressions as control variables</w:t>
      </w:r>
      <w:r w:rsidR="00367D2F" w:rsidRPr="005F6110">
        <w:rPr>
          <w:rFonts w:ascii="Times New Roman" w:hAnsi="Times New Roman" w:cs="Times New Roman"/>
          <w:sz w:val="20"/>
          <w:szCs w:val="20"/>
        </w:rPr>
        <w:t xml:space="preserve"> individually </w:t>
      </w:r>
      <w:r w:rsidRPr="005F6110">
        <w:rPr>
          <w:rFonts w:ascii="Times New Roman" w:hAnsi="Times New Roman" w:cs="Times New Roman"/>
          <w:sz w:val="20"/>
          <w:szCs w:val="20"/>
        </w:rPr>
        <w:t>and as a component of interaction terms with the proxy variables.</w:t>
      </w:r>
      <w:r w:rsidR="00534CB5" w:rsidRPr="005F6110">
        <w:rPr>
          <w:rFonts w:ascii="Times New Roman" w:hAnsi="Times New Roman" w:cs="Times New Roman"/>
          <w:sz w:val="20"/>
          <w:szCs w:val="20"/>
        </w:rPr>
        <w:t xml:space="preserve"> </w:t>
      </w:r>
      <w:r w:rsidR="00A37FBE" w:rsidRPr="005F6110">
        <w:rPr>
          <w:rFonts w:ascii="Times New Roman" w:hAnsi="Times New Roman" w:cs="Times New Roman"/>
          <w:sz w:val="20"/>
          <w:szCs w:val="20"/>
        </w:rPr>
        <w:t>Political stability</w:t>
      </w:r>
      <w:r w:rsidR="005647AF" w:rsidRPr="005F6110">
        <w:rPr>
          <w:rFonts w:ascii="Times New Roman" w:hAnsi="Times New Roman" w:cs="Times New Roman"/>
          <w:sz w:val="20"/>
          <w:szCs w:val="20"/>
        </w:rPr>
        <w:t>-</w:t>
      </w:r>
      <w:r w:rsidR="00A37FBE" w:rsidRPr="005F6110">
        <w:rPr>
          <w:rFonts w:ascii="Times New Roman" w:hAnsi="Times New Roman" w:cs="Times New Roman"/>
          <w:sz w:val="20"/>
          <w:szCs w:val="20"/>
        </w:rPr>
        <w:t>absence of violence measures the probability that the government will be destabilized or overthrown by unconstitutional or violent means. Regulatory quality c</w:t>
      </w:r>
      <w:r w:rsidR="00476326" w:rsidRPr="005F6110">
        <w:rPr>
          <w:rFonts w:ascii="Times New Roman" w:hAnsi="Times New Roman" w:cs="Times New Roman"/>
          <w:sz w:val="20"/>
          <w:szCs w:val="20"/>
        </w:rPr>
        <w:t>aptures</w:t>
      </w:r>
      <w:r w:rsidR="00A37FBE" w:rsidRPr="005F6110">
        <w:rPr>
          <w:rFonts w:ascii="Times New Roman" w:hAnsi="Times New Roman" w:cs="Times New Roman"/>
          <w:sz w:val="20"/>
          <w:szCs w:val="20"/>
        </w:rPr>
        <w:t xml:space="preserve"> perceptions of the ability of the government to formulate and implement policies and regulations which favor private sector development. </w:t>
      </w:r>
      <w:r w:rsidR="00476326" w:rsidRPr="005F6110">
        <w:rPr>
          <w:rFonts w:ascii="Times New Roman" w:hAnsi="Times New Roman" w:cs="Times New Roman"/>
          <w:sz w:val="20"/>
          <w:szCs w:val="20"/>
        </w:rPr>
        <w:t xml:space="preserve">Rule of law covers issues such as the nature of contract enforcement, property rights, </w:t>
      </w:r>
      <w:r w:rsidR="005647AF" w:rsidRPr="005F6110">
        <w:rPr>
          <w:rFonts w:ascii="Times New Roman" w:hAnsi="Times New Roman" w:cs="Times New Roman"/>
          <w:sz w:val="20"/>
          <w:szCs w:val="20"/>
        </w:rPr>
        <w:t xml:space="preserve">quality of law enforcement through security and courts. Corruption control measures the probability that public power is exercised for private gain for elites. Government effectiveness captures perceptions of the quality of public services, and credibility of the government’s commitment to policies </w:t>
      </w:r>
      <w:r w:rsidR="00476326" w:rsidRPr="005F6110">
        <w:rPr>
          <w:rFonts w:ascii="Times New Roman" w:hAnsi="Times New Roman" w:cs="Times New Roman"/>
          <w:sz w:val="20"/>
          <w:szCs w:val="20"/>
        </w:rPr>
        <w:t>(Kaufmann et al., 201</w:t>
      </w:r>
      <w:r w:rsidR="001D1F03" w:rsidRPr="005F6110">
        <w:rPr>
          <w:rFonts w:ascii="Times New Roman" w:hAnsi="Times New Roman" w:cs="Times New Roman"/>
          <w:sz w:val="20"/>
          <w:szCs w:val="20"/>
        </w:rPr>
        <w:t>1</w:t>
      </w:r>
      <w:r w:rsidR="00476326" w:rsidRPr="005F6110">
        <w:rPr>
          <w:rFonts w:ascii="Times New Roman" w:hAnsi="Times New Roman" w:cs="Times New Roman"/>
          <w:sz w:val="20"/>
          <w:szCs w:val="20"/>
        </w:rPr>
        <w:t xml:space="preserve">). </w:t>
      </w:r>
      <w:r w:rsidR="00534CB5" w:rsidRPr="005F6110">
        <w:rPr>
          <w:rFonts w:ascii="Times New Roman" w:hAnsi="Times New Roman" w:cs="Times New Roman"/>
          <w:sz w:val="20"/>
          <w:szCs w:val="20"/>
        </w:rPr>
        <w:t>In the regressions</w:t>
      </w:r>
      <w:r w:rsidRPr="005F6110">
        <w:rPr>
          <w:rFonts w:ascii="Times New Roman" w:hAnsi="Times New Roman" w:cs="Times New Roman"/>
          <w:sz w:val="20"/>
          <w:szCs w:val="20"/>
        </w:rPr>
        <w:t xml:space="preserve">, the </w:t>
      </w:r>
      <w:r w:rsidR="00BF6355" w:rsidRPr="005F6110">
        <w:rPr>
          <w:rFonts w:ascii="Times New Roman" w:hAnsi="Times New Roman" w:cs="Times New Roman"/>
          <w:sz w:val="20"/>
          <w:szCs w:val="20"/>
        </w:rPr>
        <w:t xml:space="preserve">lobbying power </w:t>
      </w:r>
      <w:r w:rsidRPr="005F6110">
        <w:rPr>
          <w:rFonts w:ascii="Times New Roman" w:hAnsi="Times New Roman" w:cs="Times New Roman"/>
          <w:sz w:val="20"/>
          <w:szCs w:val="20"/>
        </w:rPr>
        <w:t xml:space="preserve">of the </w:t>
      </w:r>
      <w:r w:rsidR="00D5235B" w:rsidRPr="005F6110">
        <w:rPr>
          <w:rFonts w:ascii="Times New Roman" w:hAnsi="Times New Roman" w:cs="Times New Roman"/>
          <w:sz w:val="20"/>
          <w:szCs w:val="20"/>
        </w:rPr>
        <w:t xml:space="preserve">interest groups </w:t>
      </w:r>
      <w:r w:rsidR="00534CB5" w:rsidRPr="005F6110">
        <w:rPr>
          <w:rFonts w:ascii="Times New Roman" w:hAnsi="Times New Roman" w:cs="Times New Roman"/>
          <w:sz w:val="20"/>
          <w:szCs w:val="20"/>
        </w:rPr>
        <w:t xml:space="preserve">is allowed to affect </w:t>
      </w:r>
      <w:r w:rsidRPr="005F6110">
        <w:rPr>
          <w:rFonts w:ascii="Times New Roman" w:hAnsi="Times New Roman" w:cs="Times New Roman"/>
          <w:sz w:val="20"/>
          <w:szCs w:val="20"/>
        </w:rPr>
        <w:t xml:space="preserve">public education spending both directly and through the channel of governance indicators. In </w:t>
      </w:r>
      <w:r w:rsidR="00534CB5" w:rsidRPr="005F6110">
        <w:rPr>
          <w:rFonts w:ascii="Times New Roman" w:hAnsi="Times New Roman" w:cs="Times New Roman"/>
          <w:sz w:val="20"/>
          <w:szCs w:val="20"/>
        </w:rPr>
        <w:t xml:space="preserve">the </w:t>
      </w:r>
      <w:r w:rsidR="00BF6355" w:rsidRPr="005F6110">
        <w:rPr>
          <w:rFonts w:ascii="Times New Roman" w:hAnsi="Times New Roman" w:cs="Times New Roman"/>
          <w:sz w:val="20"/>
          <w:szCs w:val="20"/>
        </w:rPr>
        <w:t xml:space="preserve">related </w:t>
      </w:r>
      <w:r w:rsidR="00534CB5" w:rsidRPr="005F6110">
        <w:rPr>
          <w:rFonts w:ascii="Times New Roman" w:hAnsi="Times New Roman" w:cs="Times New Roman"/>
          <w:sz w:val="20"/>
          <w:szCs w:val="20"/>
        </w:rPr>
        <w:t>literature</w:t>
      </w:r>
      <w:r w:rsidRPr="005F6110">
        <w:rPr>
          <w:rFonts w:ascii="Times New Roman" w:hAnsi="Times New Roman" w:cs="Times New Roman"/>
          <w:sz w:val="20"/>
          <w:szCs w:val="20"/>
        </w:rPr>
        <w:t xml:space="preserve"> </w:t>
      </w:r>
      <w:r w:rsidR="00534CB5" w:rsidRPr="005F6110">
        <w:rPr>
          <w:rFonts w:ascii="Times New Roman" w:hAnsi="Times New Roman" w:cs="Times New Roman"/>
          <w:sz w:val="20"/>
          <w:szCs w:val="20"/>
        </w:rPr>
        <w:t xml:space="preserve">the </w:t>
      </w:r>
      <w:r w:rsidRPr="005F6110">
        <w:rPr>
          <w:rFonts w:ascii="Times New Roman" w:hAnsi="Times New Roman" w:cs="Times New Roman"/>
          <w:sz w:val="20"/>
          <w:szCs w:val="20"/>
        </w:rPr>
        <w:t>rule of law</w:t>
      </w:r>
      <w:r w:rsidR="00095C15" w:rsidRPr="005F6110">
        <w:rPr>
          <w:rFonts w:ascii="Times New Roman" w:hAnsi="Times New Roman" w:cs="Times New Roman"/>
          <w:sz w:val="20"/>
          <w:szCs w:val="20"/>
        </w:rPr>
        <w:t xml:space="preserve"> is </w:t>
      </w:r>
      <w:r w:rsidRPr="005F6110">
        <w:rPr>
          <w:rFonts w:ascii="Times New Roman" w:hAnsi="Times New Roman" w:cs="Times New Roman"/>
          <w:sz w:val="20"/>
          <w:szCs w:val="20"/>
        </w:rPr>
        <w:t>often used to capture institutional quality (</w:t>
      </w:r>
      <w:proofErr w:type="spellStart"/>
      <w:r w:rsidRPr="005F6110">
        <w:rPr>
          <w:rFonts w:ascii="Times New Roman" w:hAnsi="Times New Roman" w:cs="Times New Roman"/>
          <w:sz w:val="20"/>
          <w:szCs w:val="20"/>
        </w:rPr>
        <w:t>Brunnschweiler</w:t>
      </w:r>
      <w:proofErr w:type="spellEnd"/>
      <w:r w:rsidRPr="005F6110">
        <w:rPr>
          <w:rFonts w:ascii="Times New Roman" w:hAnsi="Times New Roman" w:cs="Times New Roman"/>
          <w:sz w:val="20"/>
          <w:szCs w:val="20"/>
        </w:rPr>
        <w:t xml:space="preserve">, 2008 and </w:t>
      </w:r>
      <w:proofErr w:type="spellStart"/>
      <w:r w:rsidRPr="005F6110">
        <w:rPr>
          <w:rFonts w:ascii="Times New Roman" w:hAnsi="Times New Roman" w:cs="Times New Roman"/>
          <w:sz w:val="20"/>
          <w:szCs w:val="20"/>
        </w:rPr>
        <w:t>Bulte</w:t>
      </w:r>
      <w:proofErr w:type="spellEnd"/>
      <w:r w:rsidRPr="005F6110">
        <w:rPr>
          <w:rFonts w:ascii="Times New Roman" w:hAnsi="Times New Roman" w:cs="Times New Roman"/>
          <w:sz w:val="20"/>
          <w:szCs w:val="20"/>
        </w:rPr>
        <w:t xml:space="preserve"> et al., 2005). The main purpose </w:t>
      </w:r>
      <w:r w:rsidR="00BF6355" w:rsidRPr="005F6110">
        <w:rPr>
          <w:rFonts w:ascii="Times New Roman" w:hAnsi="Times New Roman" w:cs="Times New Roman"/>
          <w:sz w:val="20"/>
          <w:szCs w:val="20"/>
        </w:rPr>
        <w:t xml:space="preserve">in these studies </w:t>
      </w:r>
      <w:r w:rsidRPr="005F6110">
        <w:rPr>
          <w:rFonts w:ascii="Times New Roman" w:hAnsi="Times New Roman" w:cs="Times New Roman"/>
          <w:sz w:val="20"/>
          <w:szCs w:val="20"/>
        </w:rPr>
        <w:t xml:space="preserve">is to explore the effect of natural resource abundance on development and economic growth in countries with differing institutional quality </w:t>
      </w:r>
      <w:r w:rsidR="00534CB5" w:rsidRPr="005F6110">
        <w:rPr>
          <w:rFonts w:ascii="Times New Roman" w:hAnsi="Times New Roman" w:cs="Times New Roman"/>
          <w:sz w:val="20"/>
          <w:szCs w:val="20"/>
        </w:rPr>
        <w:t xml:space="preserve">levels. </w:t>
      </w:r>
      <w:r w:rsidR="0094661C" w:rsidRPr="005F6110">
        <w:rPr>
          <w:rFonts w:ascii="Times New Roman" w:hAnsi="Times New Roman" w:cs="Times New Roman"/>
          <w:sz w:val="20"/>
          <w:szCs w:val="20"/>
        </w:rPr>
        <w:t>On the other hand, t</w:t>
      </w:r>
      <w:r w:rsidRPr="005F6110">
        <w:rPr>
          <w:rFonts w:ascii="Times New Roman" w:hAnsi="Times New Roman" w:cs="Times New Roman"/>
          <w:sz w:val="20"/>
          <w:szCs w:val="20"/>
        </w:rPr>
        <w:t xml:space="preserve">he </w:t>
      </w:r>
      <w:r w:rsidR="00D5235B" w:rsidRPr="005F6110">
        <w:rPr>
          <w:rFonts w:ascii="Times New Roman" w:hAnsi="Times New Roman" w:cs="Times New Roman"/>
          <w:sz w:val="20"/>
          <w:szCs w:val="20"/>
        </w:rPr>
        <w:t>five</w:t>
      </w:r>
      <w:r w:rsidRPr="005F6110">
        <w:rPr>
          <w:rFonts w:ascii="Times New Roman" w:hAnsi="Times New Roman" w:cs="Times New Roman"/>
          <w:sz w:val="20"/>
          <w:szCs w:val="20"/>
        </w:rPr>
        <w:t xml:space="preserve"> governance indicators identify different dimensions of the governance rules and institutions through which the authority and policies are exercised in a country. Therefore, the </w:t>
      </w:r>
      <w:r w:rsidR="00BF6355" w:rsidRPr="005F6110">
        <w:rPr>
          <w:rFonts w:ascii="Times New Roman" w:hAnsi="Times New Roman" w:cs="Times New Roman"/>
          <w:sz w:val="20"/>
          <w:szCs w:val="20"/>
        </w:rPr>
        <w:t xml:space="preserve">lobbying power </w:t>
      </w:r>
      <w:r w:rsidRPr="005F6110">
        <w:rPr>
          <w:rFonts w:ascii="Times New Roman" w:hAnsi="Times New Roman" w:cs="Times New Roman"/>
          <w:sz w:val="20"/>
          <w:szCs w:val="20"/>
        </w:rPr>
        <w:t xml:space="preserve">of each of the three </w:t>
      </w:r>
      <w:r w:rsidR="00D5235B" w:rsidRPr="005F6110">
        <w:rPr>
          <w:rFonts w:ascii="Times New Roman" w:hAnsi="Times New Roman" w:cs="Times New Roman"/>
          <w:sz w:val="20"/>
          <w:szCs w:val="20"/>
        </w:rPr>
        <w:t>interest groups</w:t>
      </w:r>
      <w:r w:rsidRPr="005F6110">
        <w:rPr>
          <w:rFonts w:ascii="Times New Roman" w:hAnsi="Times New Roman" w:cs="Times New Roman"/>
          <w:sz w:val="20"/>
          <w:szCs w:val="20"/>
        </w:rPr>
        <w:t xml:space="preserve"> may interact with each of the governance indicators, and so affect</w:t>
      </w:r>
      <w:r w:rsidR="00BF6355" w:rsidRPr="005F6110">
        <w:rPr>
          <w:rFonts w:ascii="Times New Roman" w:hAnsi="Times New Roman" w:cs="Times New Roman"/>
          <w:sz w:val="20"/>
          <w:szCs w:val="20"/>
        </w:rPr>
        <w:t xml:space="preserve"> </w:t>
      </w:r>
      <w:r w:rsidRPr="005F6110">
        <w:rPr>
          <w:rFonts w:ascii="Times New Roman" w:hAnsi="Times New Roman" w:cs="Times New Roman"/>
          <w:sz w:val="20"/>
          <w:szCs w:val="20"/>
        </w:rPr>
        <w:t>public education spending in a different way.</w:t>
      </w:r>
      <w:r w:rsidR="008C22FE" w:rsidRPr="005F6110">
        <w:rPr>
          <w:rFonts w:ascii="Times New Roman" w:hAnsi="Times New Roman" w:cs="Times New Roman"/>
          <w:sz w:val="20"/>
          <w:szCs w:val="20"/>
        </w:rPr>
        <w:t xml:space="preserve"> Thus</w:t>
      </w:r>
      <w:r w:rsidRPr="005F6110">
        <w:rPr>
          <w:rFonts w:ascii="Times New Roman" w:hAnsi="Times New Roman" w:cs="Times New Roman"/>
          <w:sz w:val="20"/>
          <w:szCs w:val="20"/>
        </w:rPr>
        <w:t>, for the purpose</w:t>
      </w:r>
      <w:r w:rsidR="00534CB5" w:rsidRPr="005F6110">
        <w:rPr>
          <w:rFonts w:ascii="Times New Roman" w:hAnsi="Times New Roman" w:cs="Times New Roman"/>
          <w:sz w:val="20"/>
          <w:szCs w:val="20"/>
        </w:rPr>
        <w:t>s of this paper it is useful</w:t>
      </w:r>
      <w:r w:rsidRPr="005F6110">
        <w:rPr>
          <w:rFonts w:ascii="Times New Roman" w:hAnsi="Times New Roman" w:cs="Times New Roman"/>
          <w:sz w:val="20"/>
          <w:szCs w:val="20"/>
        </w:rPr>
        <w:t xml:space="preserve"> to </w:t>
      </w:r>
      <w:r w:rsidR="00534CB5" w:rsidRPr="005F6110">
        <w:rPr>
          <w:rFonts w:ascii="Times New Roman" w:hAnsi="Times New Roman" w:cs="Times New Roman"/>
          <w:sz w:val="20"/>
          <w:szCs w:val="20"/>
        </w:rPr>
        <w:t>employ</w:t>
      </w:r>
      <w:r w:rsidR="00095C15" w:rsidRPr="005F6110">
        <w:rPr>
          <w:rFonts w:ascii="Times New Roman" w:hAnsi="Times New Roman" w:cs="Times New Roman"/>
          <w:sz w:val="20"/>
          <w:szCs w:val="20"/>
        </w:rPr>
        <w:t xml:space="preserve"> different</w:t>
      </w:r>
      <w:r w:rsidRPr="005F6110">
        <w:rPr>
          <w:rFonts w:ascii="Times New Roman" w:hAnsi="Times New Roman" w:cs="Times New Roman"/>
          <w:sz w:val="20"/>
          <w:szCs w:val="20"/>
        </w:rPr>
        <w:t xml:space="preserve"> governance indicators in the regressions.</w:t>
      </w:r>
      <w:r w:rsidR="00051AE0" w:rsidRPr="005F6110">
        <w:rPr>
          <w:rFonts w:ascii="Times New Roman" w:hAnsi="Times New Roman" w:cs="Times New Roman"/>
          <w:sz w:val="20"/>
          <w:szCs w:val="20"/>
        </w:rPr>
        <w:t xml:space="preserve"> </w:t>
      </w:r>
    </w:p>
    <w:p w14:paraId="74FCE945" w14:textId="3DD48669" w:rsidR="006D4E1A" w:rsidRPr="005F6110" w:rsidRDefault="00051AE0"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Table 1 presents the descriptive statistics. The primary data sources are the World Development Indicators (WDI), Global Development Finance (GDF), and Worldwide Governance Indicators (WGI) from the World Bank.</w:t>
      </w:r>
      <w:r w:rsidR="006D4E1A" w:rsidRPr="005F6110">
        <w:rPr>
          <w:rFonts w:ascii="Times New Roman" w:hAnsi="Times New Roman" w:cs="Times New Roman"/>
          <w:sz w:val="20"/>
          <w:szCs w:val="20"/>
        </w:rPr>
        <w:t xml:space="preserve"> Public education spending (</w:t>
      </w:r>
      <w:r w:rsidR="00095C15" w:rsidRPr="005F6110">
        <w:rPr>
          <w:rFonts w:ascii="Times New Roman" w:hAnsi="Times New Roman" w:cs="Times New Roman"/>
          <w:sz w:val="20"/>
          <w:szCs w:val="20"/>
        </w:rPr>
        <w:t xml:space="preserve">as a share </w:t>
      </w:r>
      <w:r w:rsidR="006D4E1A" w:rsidRPr="005F6110">
        <w:rPr>
          <w:rFonts w:ascii="Times New Roman" w:hAnsi="Times New Roman" w:cs="Times New Roman"/>
          <w:sz w:val="20"/>
          <w:szCs w:val="20"/>
        </w:rPr>
        <w:t>of GDP) is the dependent variable for the subsequent estimations throughout the paper. The proxy variables,</w:t>
      </w:r>
      <w:r w:rsidR="0094661C" w:rsidRPr="005F6110">
        <w:rPr>
          <w:rFonts w:ascii="Times New Roman" w:hAnsi="Times New Roman" w:cs="Times New Roman"/>
          <w:sz w:val="20"/>
          <w:szCs w:val="20"/>
        </w:rPr>
        <w:t xml:space="preserve"> </w:t>
      </w:r>
      <w:r w:rsidR="006D4E1A" w:rsidRPr="005F6110">
        <w:rPr>
          <w:rFonts w:ascii="Times New Roman" w:hAnsi="Times New Roman" w:cs="Times New Roman"/>
          <w:sz w:val="20"/>
          <w:szCs w:val="20"/>
        </w:rPr>
        <w:t>natural resources rents, manufacture exports, and agriculture value added, indicate the economic contribution of the natural resource owners, manufacturers and landowners, and are assumed to represent</w:t>
      </w:r>
      <w:r w:rsidR="0094661C" w:rsidRPr="005F6110">
        <w:rPr>
          <w:rFonts w:ascii="Times New Roman" w:hAnsi="Times New Roman" w:cs="Times New Roman"/>
          <w:sz w:val="20"/>
          <w:szCs w:val="20"/>
        </w:rPr>
        <w:t xml:space="preserve"> </w:t>
      </w:r>
      <w:r w:rsidR="006D4E1A" w:rsidRPr="005F6110">
        <w:rPr>
          <w:rFonts w:ascii="Times New Roman" w:hAnsi="Times New Roman" w:cs="Times New Roman"/>
          <w:sz w:val="20"/>
          <w:szCs w:val="20"/>
        </w:rPr>
        <w:t>the</w:t>
      </w:r>
      <w:r w:rsidR="0094661C" w:rsidRPr="005F6110">
        <w:rPr>
          <w:rFonts w:ascii="Times New Roman" w:hAnsi="Times New Roman" w:cs="Times New Roman"/>
          <w:sz w:val="20"/>
          <w:szCs w:val="20"/>
        </w:rPr>
        <w:t xml:space="preserve"> relative </w:t>
      </w:r>
      <w:r w:rsidR="005D7DD1" w:rsidRPr="005F6110">
        <w:rPr>
          <w:rFonts w:ascii="Times New Roman" w:hAnsi="Times New Roman" w:cs="Times New Roman"/>
          <w:sz w:val="20"/>
          <w:szCs w:val="20"/>
        </w:rPr>
        <w:t xml:space="preserve">lobbying power </w:t>
      </w:r>
      <w:r w:rsidR="006D4E1A" w:rsidRPr="005F6110">
        <w:rPr>
          <w:rFonts w:ascii="Times New Roman" w:hAnsi="Times New Roman" w:cs="Times New Roman"/>
          <w:sz w:val="20"/>
          <w:szCs w:val="20"/>
        </w:rPr>
        <w:t>the</w:t>
      </w:r>
      <w:r w:rsidR="00D5235B" w:rsidRPr="005F6110">
        <w:rPr>
          <w:rFonts w:ascii="Times New Roman" w:hAnsi="Times New Roman" w:cs="Times New Roman"/>
          <w:sz w:val="20"/>
          <w:szCs w:val="20"/>
        </w:rPr>
        <w:t xml:space="preserve">y </w:t>
      </w:r>
      <w:r w:rsidR="006D4E1A" w:rsidRPr="005F6110">
        <w:rPr>
          <w:rFonts w:ascii="Times New Roman" w:hAnsi="Times New Roman" w:cs="Times New Roman"/>
          <w:sz w:val="20"/>
          <w:szCs w:val="20"/>
        </w:rPr>
        <w:t>possess respectively within a country.</w:t>
      </w:r>
      <w:r w:rsidR="00D5235B" w:rsidRPr="005F6110">
        <w:rPr>
          <w:rFonts w:ascii="Times New Roman" w:hAnsi="Times New Roman" w:cs="Times New Roman"/>
          <w:sz w:val="20"/>
          <w:szCs w:val="20"/>
        </w:rPr>
        <w:t xml:space="preserve"> </w:t>
      </w:r>
      <w:r w:rsidR="006D4E1A" w:rsidRPr="005F6110">
        <w:rPr>
          <w:rFonts w:ascii="Times New Roman" w:hAnsi="Times New Roman" w:cs="Times New Roman"/>
          <w:sz w:val="20"/>
          <w:szCs w:val="20"/>
        </w:rPr>
        <w:t>Therefore</w:t>
      </w:r>
      <w:r w:rsidR="00D5235B" w:rsidRPr="005F6110">
        <w:rPr>
          <w:rFonts w:ascii="Times New Roman" w:hAnsi="Times New Roman" w:cs="Times New Roman"/>
          <w:sz w:val="20"/>
          <w:szCs w:val="20"/>
        </w:rPr>
        <w:t xml:space="preserve">, </w:t>
      </w:r>
      <w:r w:rsidR="006D4E1A" w:rsidRPr="005F6110">
        <w:rPr>
          <w:rFonts w:ascii="Times New Roman" w:hAnsi="Times New Roman" w:cs="Times New Roman"/>
          <w:sz w:val="20"/>
          <w:szCs w:val="20"/>
        </w:rPr>
        <w:t>the main assumption here is that as a</w:t>
      </w:r>
      <w:r w:rsidR="00D5235B" w:rsidRPr="005F6110">
        <w:rPr>
          <w:rFonts w:ascii="Times New Roman" w:hAnsi="Times New Roman" w:cs="Times New Roman"/>
          <w:sz w:val="20"/>
          <w:szCs w:val="20"/>
        </w:rPr>
        <w:t>n</w:t>
      </w:r>
      <w:r w:rsidR="006D4E1A" w:rsidRPr="005F6110">
        <w:rPr>
          <w:rFonts w:ascii="Times New Roman" w:hAnsi="Times New Roman" w:cs="Times New Roman"/>
          <w:sz w:val="20"/>
          <w:szCs w:val="20"/>
        </w:rPr>
        <w:t xml:space="preserve"> </w:t>
      </w:r>
      <w:r w:rsidR="00D5235B" w:rsidRPr="005F6110">
        <w:rPr>
          <w:rFonts w:ascii="Times New Roman" w:hAnsi="Times New Roman" w:cs="Times New Roman"/>
          <w:sz w:val="20"/>
          <w:szCs w:val="20"/>
        </w:rPr>
        <w:t xml:space="preserve">interest </w:t>
      </w:r>
      <w:r w:rsidR="006D4E1A" w:rsidRPr="005F6110">
        <w:rPr>
          <w:rFonts w:ascii="Times New Roman" w:hAnsi="Times New Roman" w:cs="Times New Roman"/>
          <w:sz w:val="20"/>
          <w:szCs w:val="20"/>
        </w:rPr>
        <w:t>group’s economic contribution to the aggregate output</w:t>
      </w:r>
      <w:r w:rsidR="00D5235B" w:rsidRPr="005F6110">
        <w:rPr>
          <w:rFonts w:ascii="Times New Roman" w:hAnsi="Times New Roman" w:cs="Times New Roman"/>
          <w:sz w:val="20"/>
          <w:szCs w:val="20"/>
        </w:rPr>
        <w:t xml:space="preserve"> and portion of its resources </w:t>
      </w:r>
      <w:r w:rsidR="006D4E1A" w:rsidRPr="005F6110">
        <w:rPr>
          <w:rFonts w:ascii="Times New Roman" w:hAnsi="Times New Roman" w:cs="Times New Roman"/>
          <w:sz w:val="20"/>
          <w:szCs w:val="20"/>
        </w:rPr>
        <w:t xml:space="preserve">increase, its political influence </w:t>
      </w:r>
      <w:r w:rsidR="00392087" w:rsidRPr="005F6110">
        <w:rPr>
          <w:rFonts w:ascii="Times New Roman" w:hAnsi="Times New Roman" w:cs="Times New Roman"/>
          <w:sz w:val="20"/>
          <w:szCs w:val="20"/>
        </w:rPr>
        <w:t xml:space="preserve">and lobbying power </w:t>
      </w:r>
      <w:r w:rsidR="006D4E1A" w:rsidRPr="005F6110">
        <w:rPr>
          <w:rFonts w:ascii="Times New Roman" w:hAnsi="Times New Roman" w:cs="Times New Roman"/>
          <w:sz w:val="20"/>
          <w:szCs w:val="20"/>
        </w:rPr>
        <w:t>in the society also increases</w:t>
      </w:r>
      <w:r w:rsidR="005D7DD1" w:rsidRPr="005F6110">
        <w:rPr>
          <w:rFonts w:ascii="Times New Roman" w:hAnsi="Times New Roman" w:cs="Times New Roman"/>
          <w:sz w:val="20"/>
          <w:szCs w:val="20"/>
        </w:rPr>
        <w:t xml:space="preserve"> as explained in Figure 1</w:t>
      </w:r>
      <w:r w:rsidR="006D4E1A" w:rsidRPr="005F6110">
        <w:rPr>
          <w:rFonts w:ascii="Times New Roman" w:hAnsi="Times New Roman" w:cs="Times New Roman"/>
          <w:sz w:val="20"/>
          <w:szCs w:val="20"/>
        </w:rPr>
        <w:t>.</w:t>
      </w:r>
      <w:r w:rsidR="00D50C1C" w:rsidRPr="005F6110">
        <w:rPr>
          <w:rFonts w:ascii="Times New Roman" w:hAnsi="Times New Roman" w:cs="Times New Roman"/>
          <w:sz w:val="20"/>
          <w:szCs w:val="20"/>
        </w:rPr>
        <w:t xml:space="preserve"> </w:t>
      </w:r>
    </w:p>
    <w:p w14:paraId="258DEE09" w14:textId="3F49E205" w:rsidR="00D50C1C" w:rsidRPr="005F6110" w:rsidRDefault="00D50C1C"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 xml:space="preserve">The data for the governance indicators are collected from the Worldwide Governance Indicators. The numerical values of the indicators change between -3.5 and +3.5 during the period 1996-2009. If the value of an indicator </w:t>
      </w:r>
      <w:r w:rsidRPr="005F6110">
        <w:rPr>
          <w:rFonts w:ascii="Times New Roman" w:hAnsi="Times New Roman" w:cs="Times New Roman"/>
          <w:sz w:val="20"/>
          <w:szCs w:val="20"/>
        </w:rPr>
        <w:lastRenderedPageBreak/>
        <w:t>increases this refers to an improvement in that governance quality category. The log value of GDP per capita (</w:t>
      </w:r>
      <w:proofErr w:type="spellStart"/>
      <w:r w:rsidRPr="005F6110">
        <w:rPr>
          <w:rFonts w:ascii="Times New Roman" w:hAnsi="Times New Roman" w:cs="Times New Roman"/>
          <w:sz w:val="20"/>
          <w:szCs w:val="20"/>
        </w:rPr>
        <w:t>gdp</w:t>
      </w:r>
      <w:proofErr w:type="spellEnd"/>
      <w:r w:rsidR="00D5235B" w:rsidRPr="005F6110">
        <w:rPr>
          <w:rFonts w:ascii="Times New Roman" w:hAnsi="Times New Roman" w:cs="Times New Roman"/>
          <w:sz w:val="20"/>
          <w:szCs w:val="20"/>
        </w:rPr>
        <w:t xml:space="preserve"> per </w:t>
      </w:r>
      <w:r w:rsidRPr="005F6110">
        <w:rPr>
          <w:rFonts w:ascii="Times New Roman" w:hAnsi="Times New Roman" w:cs="Times New Roman"/>
          <w:sz w:val="20"/>
          <w:szCs w:val="20"/>
        </w:rPr>
        <w:t xml:space="preserve">capita in </w:t>
      </w:r>
      <w:r w:rsidR="00D5235B" w:rsidRPr="005F6110">
        <w:rPr>
          <w:rFonts w:ascii="Times New Roman" w:hAnsi="Times New Roman" w:cs="Times New Roman"/>
          <w:sz w:val="20"/>
          <w:szCs w:val="20"/>
        </w:rPr>
        <w:t xml:space="preserve">regression </w:t>
      </w:r>
      <w:r w:rsidRPr="005F6110">
        <w:rPr>
          <w:rFonts w:ascii="Times New Roman" w:hAnsi="Times New Roman" w:cs="Times New Roman"/>
          <w:sz w:val="20"/>
          <w:szCs w:val="20"/>
        </w:rPr>
        <w:t>tables), school-age population share in total population, old population (age 65 and over) share in total population (Busemeyer, 2007, Fernandez and Rogerson, 1997, and Poterba, 1997), GDP per capita growth rate (</w:t>
      </w:r>
      <w:proofErr w:type="spellStart"/>
      <w:r w:rsidRPr="005F6110">
        <w:rPr>
          <w:rFonts w:ascii="Times New Roman" w:hAnsi="Times New Roman" w:cs="Times New Roman"/>
          <w:sz w:val="20"/>
          <w:szCs w:val="20"/>
        </w:rPr>
        <w:t>gdpgrowth</w:t>
      </w:r>
      <w:proofErr w:type="spellEnd"/>
      <w:r w:rsidRPr="005F6110">
        <w:rPr>
          <w:rFonts w:ascii="Times New Roman" w:hAnsi="Times New Roman" w:cs="Times New Roman"/>
          <w:sz w:val="20"/>
          <w:szCs w:val="20"/>
        </w:rPr>
        <w:t xml:space="preserve"> in </w:t>
      </w:r>
      <w:r w:rsidR="00D5235B" w:rsidRPr="005F6110">
        <w:rPr>
          <w:rFonts w:ascii="Times New Roman" w:hAnsi="Times New Roman" w:cs="Times New Roman"/>
          <w:sz w:val="20"/>
          <w:szCs w:val="20"/>
        </w:rPr>
        <w:t xml:space="preserve">regression </w:t>
      </w:r>
      <w:r w:rsidRPr="005F6110">
        <w:rPr>
          <w:rFonts w:ascii="Times New Roman" w:hAnsi="Times New Roman" w:cs="Times New Roman"/>
          <w:sz w:val="20"/>
          <w:szCs w:val="20"/>
        </w:rPr>
        <w:t>tables) (Busemeyer, 2007),</w:t>
      </w:r>
      <w:r w:rsidR="00392087" w:rsidRPr="005F6110">
        <w:rPr>
          <w:rFonts w:ascii="Times New Roman" w:hAnsi="Times New Roman" w:cs="Times New Roman"/>
          <w:sz w:val="20"/>
          <w:szCs w:val="20"/>
        </w:rPr>
        <w:t xml:space="preserve"> </w:t>
      </w:r>
      <w:r w:rsidR="00D5235B" w:rsidRPr="005F6110">
        <w:rPr>
          <w:rFonts w:ascii="Times New Roman" w:hAnsi="Times New Roman" w:cs="Times New Roman"/>
          <w:sz w:val="20"/>
          <w:szCs w:val="20"/>
        </w:rPr>
        <w:t xml:space="preserve">government size, population, </w:t>
      </w:r>
      <w:r w:rsidRPr="005F6110">
        <w:rPr>
          <w:rFonts w:ascii="Times New Roman" w:hAnsi="Times New Roman" w:cs="Times New Roman"/>
          <w:sz w:val="20"/>
          <w:szCs w:val="20"/>
        </w:rPr>
        <w:t xml:space="preserve">and </w:t>
      </w:r>
      <w:r w:rsidR="00392087" w:rsidRPr="005F6110">
        <w:rPr>
          <w:rFonts w:ascii="Times New Roman" w:hAnsi="Times New Roman" w:cs="Times New Roman"/>
          <w:sz w:val="20"/>
          <w:szCs w:val="20"/>
        </w:rPr>
        <w:t xml:space="preserve">trade </w:t>
      </w:r>
      <w:r w:rsidRPr="005F6110">
        <w:rPr>
          <w:rFonts w:ascii="Times New Roman" w:hAnsi="Times New Roman" w:cs="Times New Roman"/>
          <w:sz w:val="20"/>
          <w:szCs w:val="20"/>
        </w:rPr>
        <w:t>openness degree</w:t>
      </w:r>
      <w:r w:rsidR="005D7DD1" w:rsidRPr="005F6110">
        <w:rPr>
          <w:rFonts w:ascii="Times New Roman" w:hAnsi="Times New Roman" w:cs="Times New Roman"/>
          <w:sz w:val="20"/>
          <w:szCs w:val="20"/>
        </w:rPr>
        <w:t xml:space="preserve"> (</w:t>
      </w:r>
      <w:proofErr w:type="spellStart"/>
      <w:r w:rsidR="005D7DD1" w:rsidRPr="005F6110">
        <w:rPr>
          <w:rFonts w:ascii="Times New Roman" w:hAnsi="Times New Roman" w:cs="Times New Roman"/>
          <w:sz w:val="20"/>
          <w:szCs w:val="20"/>
        </w:rPr>
        <w:t>Heston</w:t>
      </w:r>
      <w:proofErr w:type="spellEnd"/>
      <w:r w:rsidR="005D7DD1" w:rsidRPr="005F6110">
        <w:rPr>
          <w:rFonts w:ascii="Times New Roman" w:hAnsi="Times New Roman" w:cs="Times New Roman"/>
          <w:sz w:val="20"/>
          <w:szCs w:val="20"/>
        </w:rPr>
        <w:t xml:space="preserve"> et al., 2009) </w:t>
      </w:r>
      <w:r w:rsidRPr="005F6110">
        <w:rPr>
          <w:rFonts w:ascii="Times New Roman" w:hAnsi="Times New Roman" w:cs="Times New Roman"/>
          <w:sz w:val="20"/>
          <w:szCs w:val="20"/>
        </w:rPr>
        <w:t xml:space="preserve">are other explanatory variables that are </w:t>
      </w:r>
      <w:r w:rsidR="00534CB5" w:rsidRPr="005F6110">
        <w:rPr>
          <w:rFonts w:ascii="Times New Roman" w:hAnsi="Times New Roman" w:cs="Times New Roman"/>
          <w:sz w:val="20"/>
          <w:szCs w:val="20"/>
        </w:rPr>
        <w:t xml:space="preserve">found to be </w:t>
      </w:r>
      <w:r w:rsidRPr="005F6110">
        <w:rPr>
          <w:rFonts w:ascii="Times New Roman" w:hAnsi="Times New Roman" w:cs="Times New Roman"/>
          <w:sz w:val="20"/>
          <w:szCs w:val="20"/>
        </w:rPr>
        <w:t>correlated with public education spending in the related literature.</w:t>
      </w:r>
      <w:r w:rsidR="00D74CE6" w:rsidRPr="005F6110">
        <w:rPr>
          <w:rFonts w:ascii="Times New Roman" w:hAnsi="Times New Roman" w:cs="Times New Roman"/>
          <w:sz w:val="20"/>
          <w:szCs w:val="20"/>
        </w:rPr>
        <w:t xml:space="preserve"> School-age population </w:t>
      </w:r>
      <w:r w:rsidR="005E1941" w:rsidRPr="005F6110">
        <w:rPr>
          <w:rFonts w:ascii="Times New Roman" w:hAnsi="Times New Roman" w:cs="Times New Roman"/>
          <w:sz w:val="20"/>
          <w:szCs w:val="20"/>
        </w:rPr>
        <w:t xml:space="preserve">share </w:t>
      </w:r>
      <w:r w:rsidR="00D74CE6" w:rsidRPr="005F6110">
        <w:rPr>
          <w:rFonts w:ascii="Times New Roman" w:hAnsi="Times New Roman" w:cs="Times New Roman"/>
          <w:sz w:val="20"/>
          <w:szCs w:val="20"/>
        </w:rPr>
        <w:t xml:space="preserve">is the population of the age-group theoretically corresponding to a given level of education as indicated by </w:t>
      </w:r>
      <w:r w:rsidR="0094661C" w:rsidRPr="005F6110">
        <w:rPr>
          <w:rFonts w:ascii="Times New Roman" w:hAnsi="Times New Roman" w:cs="Times New Roman"/>
          <w:sz w:val="20"/>
          <w:szCs w:val="20"/>
        </w:rPr>
        <w:t xml:space="preserve">the </w:t>
      </w:r>
      <w:r w:rsidR="00D74CE6" w:rsidRPr="005F6110">
        <w:rPr>
          <w:rFonts w:ascii="Times New Roman" w:hAnsi="Times New Roman" w:cs="Times New Roman"/>
          <w:sz w:val="20"/>
          <w:szCs w:val="20"/>
        </w:rPr>
        <w:t>theoretical entrance age and duration</w:t>
      </w:r>
      <w:r w:rsidR="005E1941" w:rsidRPr="005F6110">
        <w:rPr>
          <w:rFonts w:ascii="Times New Roman" w:hAnsi="Times New Roman" w:cs="Times New Roman"/>
          <w:sz w:val="20"/>
          <w:szCs w:val="20"/>
        </w:rPr>
        <w:t xml:space="preserve"> divided by total population.</w:t>
      </w:r>
      <w:r w:rsidRPr="005F6110">
        <w:rPr>
          <w:rFonts w:ascii="Times New Roman" w:hAnsi="Times New Roman" w:cs="Times New Roman"/>
          <w:sz w:val="20"/>
          <w:szCs w:val="20"/>
        </w:rPr>
        <w:t xml:space="preserve"> </w:t>
      </w:r>
    </w:p>
    <w:p w14:paraId="1B891450" w14:textId="77777777" w:rsidR="009B0760" w:rsidRDefault="009B0760" w:rsidP="00510FBA">
      <w:pPr>
        <w:spacing w:after="120" w:line="360" w:lineRule="auto"/>
        <w:ind w:left="-576" w:firstLine="144"/>
        <w:jc w:val="both"/>
        <w:rPr>
          <w:rFonts w:ascii="Times New Roman" w:hAnsi="Times New Roman" w:cs="Times New Roman"/>
          <w:sz w:val="24"/>
          <w:szCs w:val="24"/>
        </w:rPr>
      </w:pPr>
    </w:p>
    <w:tbl>
      <w:tblPr>
        <w:tblW w:w="4960" w:type="pct"/>
        <w:tblLook w:val="04A0" w:firstRow="1" w:lastRow="0" w:firstColumn="1" w:lastColumn="0" w:noHBand="0" w:noVBand="1"/>
      </w:tblPr>
      <w:tblGrid>
        <w:gridCol w:w="2019"/>
        <w:gridCol w:w="963"/>
        <w:gridCol w:w="1112"/>
        <w:gridCol w:w="1112"/>
        <w:gridCol w:w="1163"/>
        <w:gridCol w:w="1112"/>
        <w:gridCol w:w="1304"/>
      </w:tblGrid>
      <w:tr w:rsidR="009B0760" w:rsidRPr="001814FF" w14:paraId="0885074D" w14:textId="77777777" w:rsidTr="009B0760">
        <w:trPr>
          <w:trHeight w:val="315"/>
        </w:trPr>
        <w:tc>
          <w:tcPr>
            <w:tcW w:w="1697" w:type="pct"/>
            <w:gridSpan w:val="2"/>
            <w:tcBorders>
              <w:top w:val="nil"/>
              <w:left w:val="nil"/>
              <w:bottom w:val="double" w:sz="6" w:space="0" w:color="auto"/>
              <w:right w:val="nil"/>
            </w:tcBorders>
            <w:shd w:val="clear" w:color="auto" w:fill="auto"/>
            <w:noWrap/>
            <w:vAlign w:val="center"/>
          </w:tcPr>
          <w:p w14:paraId="25B2437B" w14:textId="77777777" w:rsidR="009B0760" w:rsidRPr="001814FF" w:rsidRDefault="009B0760" w:rsidP="009B0760">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w:t>
            </w:r>
            <w:r w:rsidRPr="001814FF">
              <w:rPr>
                <w:rFonts w:ascii="Times New Roman" w:eastAsia="Times New Roman" w:hAnsi="Times New Roman" w:cs="Times New Roman"/>
                <w:bCs/>
                <w:color w:val="000000"/>
                <w:sz w:val="20"/>
                <w:szCs w:val="20"/>
              </w:rPr>
              <w:t>able 1 Descriptive Statistics</w:t>
            </w:r>
          </w:p>
        </w:tc>
        <w:tc>
          <w:tcPr>
            <w:tcW w:w="633" w:type="pct"/>
            <w:tcBorders>
              <w:top w:val="nil"/>
              <w:left w:val="nil"/>
              <w:bottom w:val="double" w:sz="6" w:space="0" w:color="auto"/>
              <w:right w:val="nil"/>
            </w:tcBorders>
            <w:shd w:val="clear" w:color="auto" w:fill="auto"/>
            <w:noWrap/>
            <w:vAlign w:val="center"/>
          </w:tcPr>
          <w:p w14:paraId="42D381B4"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p>
        </w:tc>
        <w:tc>
          <w:tcPr>
            <w:tcW w:w="633" w:type="pct"/>
            <w:tcBorders>
              <w:top w:val="nil"/>
              <w:left w:val="nil"/>
              <w:bottom w:val="double" w:sz="6" w:space="0" w:color="auto"/>
              <w:right w:val="nil"/>
            </w:tcBorders>
            <w:shd w:val="clear" w:color="auto" w:fill="auto"/>
            <w:noWrap/>
            <w:vAlign w:val="center"/>
          </w:tcPr>
          <w:p w14:paraId="47239CD3"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p>
        </w:tc>
        <w:tc>
          <w:tcPr>
            <w:tcW w:w="662" w:type="pct"/>
            <w:tcBorders>
              <w:top w:val="nil"/>
              <w:left w:val="nil"/>
              <w:bottom w:val="double" w:sz="6" w:space="0" w:color="auto"/>
              <w:right w:val="nil"/>
            </w:tcBorders>
            <w:shd w:val="clear" w:color="auto" w:fill="auto"/>
            <w:noWrap/>
            <w:vAlign w:val="center"/>
          </w:tcPr>
          <w:p w14:paraId="3C441A9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p>
        </w:tc>
        <w:tc>
          <w:tcPr>
            <w:tcW w:w="633" w:type="pct"/>
            <w:tcBorders>
              <w:top w:val="nil"/>
              <w:left w:val="nil"/>
              <w:bottom w:val="double" w:sz="6" w:space="0" w:color="auto"/>
              <w:right w:val="nil"/>
            </w:tcBorders>
            <w:shd w:val="clear" w:color="auto" w:fill="auto"/>
            <w:noWrap/>
            <w:vAlign w:val="center"/>
          </w:tcPr>
          <w:p w14:paraId="1BBD5885"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p>
        </w:tc>
        <w:tc>
          <w:tcPr>
            <w:tcW w:w="742" w:type="pct"/>
            <w:tcBorders>
              <w:top w:val="nil"/>
              <w:left w:val="nil"/>
              <w:bottom w:val="double" w:sz="6" w:space="0" w:color="auto"/>
              <w:right w:val="nil"/>
            </w:tcBorders>
            <w:shd w:val="clear" w:color="auto" w:fill="auto"/>
            <w:noWrap/>
            <w:vAlign w:val="center"/>
          </w:tcPr>
          <w:p w14:paraId="49F9A03C"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p>
        </w:tc>
      </w:tr>
      <w:tr w:rsidR="009B0760" w:rsidRPr="001814FF" w14:paraId="43EB2B7F" w14:textId="77777777" w:rsidTr="009B0760">
        <w:trPr>
          <w:trHeight w:val="330"/>
        </w:trPr>
        <w:tc>
          <w:tcPr>
            <w:tcW w:w="1149" w:type="pct"/>
            <w:tcBorders>
              <w:top w:val="nil"/>
              <w:left w:val="nil"/>
              <w:bottom w:val="single" w:sz="8" w:space="0" w:color="auto"/>
              <w:right w:val="nil"/>
            </w:tcBorders>
            <w:shd w:val="clear" w:color="auto" w:fill="auto"/>
            <w:noWrap/>
            <w:vAlign w:val="center"/>
            <w:hideMark/>
          </w:tcPr>
          <w:p w14:paraId="7275BED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Variable</w:t>
            </w:r>
          </w:p>
        </w:tc>
        <w:tc>
          <w:tcPr>
            <w:tcW w:w="548" w:type="pct"/>
            <w:tcBorders>
              <w:top w:val="nil"/>
              <w:left w:val="nil"/>
              <w:bottom w:val="single" w:sz="8" w:space="0" w:color="auto"/>
              <w:right w:val="nil"/>
            </w:tcBorders>
            <w:shd w:val="clear" w:color="auto" w:fill="auto"/>
            <w:noWrap/>
            <w:vAlign w:val="center"/>
            <w:hideMark/>
          </w:tcPr>
          <w:p w14:paraId="2A27C601"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52E3E45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Mean</w:t>
            </w:r>
          </w:p>
        </w:tc>
        <w:tc>
          <w:tcPr>
            <w:tcW w:w="633" w:type="pct"/>
            <w:tcBorders>
              <w:top w:val="nil"/>
              <w:left w:val="nil"/>
              <w:bottom w:val="single" w:sz="8" w:space="0" w:color="auto"/>
              <w:right w:val="nil"/>
            </w:tcBorders>
            <w:shd w:val="clear" w:color="auto" w:fill="auto"/>
            <w:noWrap/>
            <w:vAlign w:val="center"/>
            <w:hideMark/>
          </w:tcPr>
          <w:p w14:paraId="0BBAA3A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Std. Dev.</w:t>
            </w:r>
          </w:p>
        </w:tc>
        <w:tc>
          <w:tcPr>
            <w:tcW w:w="662" w:type="pct"/>
            <w:tcBorders>
              <w:top w:val="nil"/>
              <w:left w:val="nil"/>
              <w:bottom w:val="single" w:sz="8" w:space="0" w:color="auto"/>
              <w:right w:val="nil"/>
            </w:tcBorders>
            <w:shd w:val="clear" w:color="auto" w:fill="auto"/>
            <w:noWrap/>
            <w:vAlign w:val="center"/>
            <w:hideMark/>
          </w:tcPr>
          <w:p w14:paraId="12245E2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Min</w:t>
            </w:r>
          </w:p>
        </w:tc>
        <w:tc>
          <w:tcPr>
            <w:tcW w:w="633" w:type="pct"/>
            <w:tcBorders>
              <w:top w:val="nil"/>
              <w:left w:val="nil"/>
              <w:bottom w:val="single" w:sz="8" w:space="0" w:color="auto"/>
              <w:right w:val="nil"/>
            </w:tcBorders>
            <w:shd w:val="clear" w:color="auto" w:fill="auto"/>
            <w:noWrap/>
            <w:vAlign w:val="center"/>
            <w:hideMark/>
          </w:tcPr>
          <w:p w14:paraId="183C27D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Max</w:t>
            </w:r>
          </w:p>
        </w:tc>
        <w:tc>
          <w:tcPr>
            <w:tcW w:w="742" w:type="pct"/>
            <w:tcBorders>
              <w:top w:val="nil"/>
              <w:left w:val="nil"/>
              <w:bottom w:val="single" w:sz="8" w:space="0" w:color="auto"/>
              <w:right w:val="nil"/>
            </w:tcBorders>
            <w:shd w:val="clear" w:color="auto" w:fill="auto"/>
            <w:noWrap/>
            <w:vAlign w:val="center"/>
            <w:hideMark/>
          </w:tcPr>
          <w:p w14:paraId="56D1A67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Observations</w:t>
            </w:r>
          </w:p>
        </w:tc>
      </w:tr>
      <w:tr w:rsidR="009B0760" w:rsidRPr="001814FF" w14:paraId="32226E84" w14:textId="77777777" w:rsidTr="009B0760">
        <w:trPr>
          <w:trHeight w:val="300"/>
        </w:trPr>
        <w:tc>
          <w:tcPr>
            <w:tcW w:w="1149" w:type="pct"/>
            <w:tcBorders>
              <w:top w:val="nil"/>
              <w:left w:val="nil"/>
              <w:bottom w:val="nil"/>
              <w:right w:val="nil"/>
            </w:tcBorders>
            <w:shd w:val="clear" w:color="auto" w:fill="auto"/>
            <w:noWrap/>
            <w:vAlign w:val="bottom"/>
            <w:hideMark/>
          </w:tcPr>
          <w:p w14:paraId="2FF076F0"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bottom"/>
            <w:hideMark/>
          </w:tcPr>
          <w:p w14:paraId="370F99D3"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bottom"/>
            <w:hideMark/>
          </w:tcPr>
          <w:p w14:paraId="6C8CF5D0"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bottom"/>
            <w:hideMark/>
          </w:tcPr>
          <w:p w14:paraId="76BF154F" w14:textId="77777777" w:rsidR="009B0760" w:rsidRPr="001814FF" w:rsidRDefault="009B0760" w:rsidP="009B0760">
            <w:pPr>
              <w:spacing w:after="0" w:line="240" w:lineRule="auto"/>
              <w:rPr>
                <w:rFonts w:ascii="Calibri" w:eastAsia="Times New Roman" w:hAnsi="Calibri" w:cs="Calibri"/>
                <w:color w:val="000000"/>
              </w:rPr>
            </w:pPr>
          </w:p>
        </w:tc>
        <w:tc>
          <w:tcPr>
            <w:tcW w:w="662" w:type="pct"/>
            <w:tcBorders>
              <w:top w:val="nil"/>
              <w:left w:val="nil"/>
              <w:bottom w:val="nil"/>
              <w:right w:val="nil"/>
            </w:tcBorders>
            <w:shd w:val="clear" w:color="auto" w:fill="auto"/>
            <w:noWrap/>
            <w:vAlign w:val="bottom"/>
            <w:hideMark/>
          </w:tcPr>
          <w:p w14:paraId="1BA17582"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bottom"/>
            <w:hideMark/>
          </w:tcPr>
          <w:p w14:paraId="1C25AECE" w14:textId="77777777" w:rsidR="009B0760" w:rsidRPr="001814FF" w:rsidRDefault="009B0760" w:rsidP="009B0760">
            <w:pPr>
              <w:spacing w:after="0" w:line="240" w:lineRule="auto"/>
              <w:rPr>
                <w:rFonts w:ascii="Calibri" w:eastAsia="Times New Roman" w:hAnsi="Calibri" w:cs="Calibri"/>
                <w:color w:val="000000"/>
              </w:rPr>
            </w:pPr>
          </w:p>
        </w:tc>
        <w:tc>
          <w:tcPr>
            <w:tcW w:w="742" w:type="pct"/>
            <w:tcBorders>
              <w:top w:val="nil"/>
              <w:left w:val="nil"/>
              <w:bottom w:val="nil"/>
              <w:right w:val="nil"/>
            </w:tcBorders>
            <w:shd w:val="clear" w:color="auto" w:fill="auto"/>
            <w:noWrap/>
            <w:vAlign w:val="bottom"/>
            <w:hideMark/>
          </w:tcPr>
          <w:p w14:paraId="6CAFDF9D" w14:textId="77777777" w:rsidR="009B0760" w:rsidRPr="001814FF" w:rsidRDefault="009B0760" w:rsidP="009B0760">
            <w:pPr>
              <w:spacing w:after="0" w:line="240" w:lineRule="auto"/>
              <w:rPr>
                <w:rFonts w:ascii="Calibri" w:eastAsia="Times New Roman" w:hAnsi="Calibri" w:cs="Calibri"/>
                <w:color w:val="000000"/>
              </w:rPr>
            </w:pPr>
          </w:p>
        </w:tc>
      </w:tr>
      <w:tr w:rsidR="009B0760" w:rsidRPr="001814FF" w14:paraId="232264AD" w14:textId="77777777" w:rsidTr="009B0760">
        <w:trPr>
          <w:trHeight w:val="300"/>
        </w:trPr>
        <w:tc>
          <w:tcPr>
            <w:tcW w:w="1149" w:type="pct"/>
            <w:tcBorders>
              <w:top w:val="nil"/>
              <w:left w:val="nil"/>
              <w:bottom w:val="nil"/>
              <w:right w:val="nil"/>
            </w:tcBorders>
            <w:shd w:val="clear" w:color="auto" w:fill="auto"/>
            <w:noWrap/>
            <w:vAlign w:val="center"/>
            <w:hideMark/>
          </w:tcPr>
          <w:p w14:paraId="6DF687C1"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public education</w:t>
            </w:r>
          </w:p>
        </w:tc>
        <w:tc>
          <w:tcPr>
            <w:tcW w:w="548" w:type="pct"/>
            <w:tcBorders>
              <w:top w:val="nil"/>
              <w:left w:val="nil"/>
              <w:bottom w:val="nil"/>
              <w:right w:val="nil"/>
            </w:tcBorders>
            <w:shd w:val="clear" w:color="auto" w:fill="auto"/>
            <w:noWrap/>
            <w:vAlign w:val="center"/>
            <w:hideMark/>
          </w:tcPr>
          <w:p w14:paraId="25C2F418"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431B15A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0.0465773</w:t>
            </w:r>
          </w:p>
        </w:tc>
        <w:tc>
          <w:tcPr>
            <w:tcW w:w="633" w:type="pct"/>
            <w:tcBorders>
              <w:top w:val="nil"/>
              <w:left w:val="nil"/>
              <w:bottom w:val="nil"/>
              <w:right w:val="nil"/>
            </w:tcBorders>
            <w:shd w:val="clear" w:color="auto" w:fill="auto"/>
            <w:noWrap/>
            <w:vAlign w:val="center"/>
            <w:hideMark/>
          </w:tcPr>
          <w:p w14:paraId="011ABF2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0.0178768</w:t>
            </w:r>
          </w:p>
        </w:tc>
        <w:tc>
          <w:tcPr>
            <w:tcW w:w="662" w:type="pct"/>
            <w:tcBorders>
              <w:top w:val="nil"/>
              <w:left w:val="nil"/>
              <w:bottom w:val="nil"/>
              <w:right w:val="nil"/>
            </w:tcBorders>
            <w:shd w:val="clear" w:color="auto" w:fill="auto"/>
            <w:noWrap/>
            <w:vAlign w:val="center"/>
            <w:hideMark/>
          </w:tcPr>
          <w:p w14:paraId="7A24DF7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2.20E-08</w:t>
            </w:r>
          </w:p>
        </w:tc>
        <w:tc>
          <w:tcPr>
            <w:tcW w:w="633" w:type="pct"/>
            <w:tcBorders>
              <w:top w:val="nil"/>
              <w:left w:val="nil"/>
              <w:bottom w:val="nil"/>
              <w:right w:val="nil"/>
            </w:tcBorders>
            <w:shd w:val="clear" w:color="auto" w:fill="auto"/>
            <w:noWrap/>
            <w:vAlign w:val="center"/>
            <w:hideMark/>
          </w:tcPr>
          <w:p w14:paraId="739DA1F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0.1605884</w:t>
            </w:r>
          </w:p>
        </w:tc>
        <w:tc>
          <w:tcPr>
            <w:tcW w:w="742" w:type="pct"/>
            <w:tcBorders>
              <w:top w:val="nil"/>
              <w:left w:val="nil"/>
              <w:bottom w:val="nil"/>
              <w:right w:val="nil"/>
            </w:tcBorders>
            <w:shd w:val="clear" w:color="auto" w:fill="auto"/>
            <w:noWrap/>
            <w:vAlign w:val="center"/>
            <w:hideMark/>
          </w:tcPr>
          <w:p w14:paraId="015B358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1142</w:t>
            </w:r>
          </w:p>
        </w:tc>
      </w:tr>
      <w:tr w:rsidR="009B0760" w:rsidRPr="001814FF" w14:paraId="477A296A" w14:textId="77777777" w:rsidTr="009B0760">
        <w:trPr>
          <w:trHeight w:val="300"/>
        </w:trPr>
        <w:tc>
          <w:tcPr>
            <w:tcW w:w="1149" w:type="pct"/>
            <w:tcBorders>
              <w:top w:val="nil"/>
              <w:left w:val="nil"/>
              <w:bottom w:val="nil"/>
              <w:right w:val="nil"/>
            </w:tcBorders>
            <w:shd w:val="clear" w:color="auto" w:fill="auto"/>
            <w:noWrap/>
            <w:vAlign w:val="bottom"/>
            <w:hideMark/>
          </w:tcPr>
          <w:p w14:paraId="797CFD63"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4B11C1A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033FF214"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47368FC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0.0166878</w:t>
            </w:r>
          </w:p>
        </w:tc>
        <w:tc>
          <w:tcPr>
            <w:tcW w:w="662" w:type="pct"/>
            <w:tcBorders>
              <w:top w:val="nil"/>
              <w:left w:val="nil"/>
              <w:bottom w:val="nil"/>
              <w:right w:val="nil"/>
            </w:tcBorders>
            <w:shd w:val="clear" w:color="auto" w:fill="auto"/>
            <w:noWrap/>
            <w:vAlign w:val="center"/>
            <w:hideMark/>
          </w:tcPr>
          <w:p w14:paraId="1336AD1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0.0107698</w:t>
            </w:r>
          </w:p>
        </w:tc>
        <w:tc>
          <w:tcPr>
            <w:tcW w:w="633" w:type="pct"/>
            <w:tcBorders>
              <w:top w:val="nil"/>
              <w:left w:val="nil"/>
              <w:bottom w:val="nil"/>
              <w:right w:val="nil"/>
            </w:tcBorders>
            <w:shd w:val="clear" w:color="auto" w:fill="auto"/>
            <w:noWrap/>
            <w:vAlign w:val="center"/>
            <w:hideMark/>
          </w:tcPr>
          <w:p w14:paraId="339A6BF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0.1345486</w:t>
            </w:r>
          </w:p>
        </w:tc>
        <w:tc>
          <w:tcPr>
            <w:tcW w:w="742" w:type="pct"/>
            <w:tcBorders>
              <w:top w:val="nil"/>
              <w:left w:val="nil"/>
              <w:bottom w:val="nil"/>
              <w:right w:val="nil"/>
            </w:tcBorders>
            <w:shd w:val="clear" w:color="auto" w:fill="auto"/>
            <w:noWrap/>
            <w:vAlign w:val="center"/>
            <w:hideMark/>
          </w:tcPr>
          <w:p w14:paraId="462D008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09034542" w14:textId="77777777" w:rsidTr="009B0760">
        <w:trPr>
          <w:trHeight w:val="300"/>
        </w:trPr>
        <w:tc>
          <w:tcPr>
            <w:tcW w:w="1149" w:type="pct"/>
            <w:tcBorders>
              <w:top w:val="nil"/>
              <w:left w:val="nil"/>
              <w:bottom w:val="nil"/>
              <w:right w:val="nil"/>
            </w:tcBorders>
            <w:shd w:val="clear" w:color="auto" w:fill="auto"/>
            <w:noWrap/>
            <w:vAlign w:val="bottom"/>
            <w:hideMark/>
          </w:tcPr>
          <w:p w14:paraId="34939057"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1C15225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71D40B92"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6ECCCC4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0.0065282</w:t>
            </w:r>
          </w:p>
        </w:tc>
        <w:tc>
          <w:tcPr>
            <w:tcW w:w="662" w:type="pct"/>
            <w:tcBorders>
              <w:top w:val="nil"/>
              <w:left w:val="nil"/>
              <w:bottom w:val="nil"/>
              <w:right w:val="nil"/>
            </w:tcBorders>
            <w:shd w:val="clear" w:color="auto" w:fill="auto"/>
            <w:noWrap/>
            <w:vAlign w:val="center"/>
            <w:hideMark/>
          </w:tcPr>
          <w:p w14:paraId="41C6DEA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0.0116075</w:t>
            </w:r>
          </w:p>
        </w:tc>
        <w:tc>
          <w:tcPr>
            <w:tcW w:w="633" w:type="pct"/>
            <w:tcBorders>
              <w:top w:val="nil"/>
              <w:left w:val="nil"/>
              <w:bottom w:val="nil"/>
              <w:right w:val="nil"/>
            </w:tcBorders>
            <w:shd w:val="clear" w:color="auto" w:fill="auto"/>
            <w:noWrap/>
            <w:vAlign w:val="center"/>
            <w:hideMark/>
          </w:tcPr>
          <w:p w14:paraId="05593C9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0.080467</w:t>
            </w:r>
          </w:p>
        </w:tc>
        <w:tc>
          <w:tcPr>
            <w:tcW w:w="742" w:type="pct"/>
            <w:tcBorders>
              <w:top w:val="nil"/>
              <w:left w:val="nil"/>
              <w:bottom w:val="nil"/>
              <w:right w:val="nil"/>
            </w:tcBorders>
            <w:shd w:val="clear" w:color="auto" w:fill="auto"/>
            <w:noWrap/>
            <w:vAlign w:val="center"/>
            <w:hideMark/>
          </w:tcPr>
          <w:p w14:paraId="4B7600A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8.65152</w:t>
            </w:r>
          </w:p>
        </w:tc>
      </w:tr>
      <w:tr w:rsidR="009B0760" w:rsidRPr="001814FF" w14:paraId="7D830948"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5D84B8DC"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47B4BF7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7C230A0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6743C24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2D80BF4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3F3734C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43F0874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0E251413" w14:textId="77777777" w:rsidTr="009B0760">
        <w:trPr>
          <w:trHeight w:val="300"/>
        </w:trPr>
        <w:tc>
          <w:tcPr>
            <w:tcW w:w="1149" w:type="pct"/>
            <w:tcBorders>
              <w:top w:val="nil"/>
              <w:left w:val="nil"/>
              <w:bottom w:val="nil"/>
              <w:right w:val="nil"/>
            </w:tcBorders>
            <w:shd w:val="clear" w:color="auto" w:fill="auto"/>
            <w:noWrap/>
            <w:vAlign w:val="center"/>
            <w:hideMark/>
          </w:tcPr>
          <w:p w14:paraId="27080279"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resource rent</w:t>
            </w:r>
          </w:p>
        </w:tc>
        <w:tc>
          <w:tcPr>
            <w:tcW w:w="548" w:type="pct"/>
            <w:tcBorders>
              <w:top w:val="nil"/>
              <w:left w:val="nil"/>
              <w:bottom w:val="nil"/>
              <w:right w:val="nil"/>
            </w:tcBorders>
            <w:shd w:val="clear" w:color="auto" w:fill="auto"/>
            <w:noWrap/>
            <w:vAlign w:val="center"/>
            <w:hideMark/>
          </w:tcPr>
          <w:p w14:paraId="7953A469"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18D742C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0.069023</w:t>
            </w:r>
          </w:p>
        </w:tc>
        <w:tc>
          <w:tcPr>
            <w:tcW w:w="633" w:type="pct"/>
            <w:tcBorders>
              <w:top w:val="nil"/>
              <w:left w:val="nil"/>
              <w:bottom w:val="nil"/>
              <w:right w:val="nil"/>
            </w:tcBorders>
            <w:shd w:val="clear" w:color="auto" w:fill="auto"/>
            <w:noWrap/>
            <w:vAlign w:val="center"/>
            <w:hideMark/>
          </w:tcPr>
          <w:p w14:paraId="1529EF9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0.1206953</w:t>
            </w:r>
          </w:p>
        </w:tc>
        <w:tc>
          <w:tcPr>
            <w:tcW w:w="662" w:type="pct"/>
            <w:tcBorders>
              <w:top w:val="nil"/>
              <w:left w:val="nil"/>
              <w:bottom w:val="nil"/>
              <w:right w:val="nil"/>
            </w:tcBorders>
            <w:shd w:val="clear" w:color="auto" w:fill="auto"/>
            <w:noWrap/>
            <w:vAlign w:val="center"/>
            <w:hideMark/>
          </w:tcPr>
          <w:p w14:paraId="04D8394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w:t>
            </w:r>
          </w:p>
        </w:tc>
        <w:tc>
          <w:tcPr>
            <w:tcW w:w="633" w:type="pct"/>
            <w:tcBorders>
              <w:top w:val="nil"/>
              <w:left w:val="nil"/>
              <w:bottom w:val="nil"/>
              <w:right w:val="nil"/>
            </w:tcBorders>
            <w:shd w:val="clear" w:color="auto" w:fill="auto"/>
            <w:noWrap/>
            <w:vAlign w:val="center"/>
            <w:hideMark/>
          </w:tcPr>
          <w:p w14:paraId="761A746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0.7124102</w:t>
            </w:r>
          </w:p>
        </w:tc>
        <w:tc>
          <w:tcPr>
            <w:tcW w:w="742" w:type="pct"/>
            <w:tcBorders>
              <w:top w:val="nil"/>
              <w:left w:val="nil"/>
              <w:bottom w:val="nil"/>
              <w:right w:val="nil"/>
            </w:tcBorders>
            <w:shd w:val="clear" w:color="auto" w:fill="auto"/>
            <w:noWrap/>
            <w:vAlign w:val="center"/>
            <w:hideMark/>
          </w:tcPr>
          <w:p w14:paraId="6FF110F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1847</w:t>
            </w:r>
          </w:p>
        </w:tc>
      </w:tr>
      <w:tr w:rsidR="009B0760" w:rsidRPr="001814FF" w14:paraId="46CCC599" w14:textId="77777777" w:rsidTr="009B0760">
        <w:trPr>
          <w:trHeight w:val="300"/>
        </w:trPr>
        <w:tc>
          <w:tcPr>
            <w:tcW w:w="1149" w:type="pct"/>
            <w:tcBorders>
              <w:top w:val="nil"/>
              <w:left w:val="nil"/>
              <w:bottom w:val="nil"/>
              <w:right w:val="nil"/>
            </w:tcBorders>
            <w:shd w:val="clear" w:color="auto" w:fill="auto"/>
            <w:noWrap/>
            <w:vAlign w:val="bottom"/>
            <w:hideMark/>
          </w:tcPr>
          <w:p w14:paraId="3F7FDADE"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26FC58CE"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39E7AEBA"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0826F1E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0.1134383</w:t>
            </w:r>
          </w:p>
        </w:tc>
        <w:tc>
          <w:tcPr>
            <w:tcW w:w="662" w:type="pct"/>
            <w:tcBorders>
              <w:top w:val="nil"/>
              <w:left w:val="nil"/>
              <w:bottom w:val="nil"/>
              <w:right w:val="nil"/>
            </w:tcBorders>
            <w:shd w:val="clear" w:color="auto" w:fill="auto"/>
            <w:noWrap/>
            <w:vAlign w:val="center"/>
            <w:hideMark/>
          </w:tcPr>
          <w:p w14:paraId="591A3C8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w:t>
            </w:r>
          </w:p>
        </w:tc>
        <w:tc>
          <w:tcPr>
            <w:tcW w:w="633" w:type="pct"/>
            <w:tcBorders>
              <w:top w:val="nil"/>
              <w:left w:val="nil"/>
              <w:bottom w:val="nil"/>
              <w:right w:val="nil"/>
            </w:tcBorders>
            <w:shd w:val="clear" w:color="auto" w:fill="auto"/>
            <w:noWrap/>
            <w:vAlign w:val="center"/>
            <w:hideMark/>
          </w:tcPr>
          <w:p w14:paraId="5E91B1B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0.4881426</w:t>
            </w:r>
          </w:p>
        </w:tc>
        <w:tc>
          <w:tcPr>
            <w:tcW w:w="742" w:type="pct"/>
            <w:tcBorders>
              <w:top w:val="nil"/>
              <w:left w:val="nil"/>
              <w:bottom w:val="nil"/>
              <w:right w:val="nil"/>
            </w:tcBorders>
            <w:shd w:val="clear" w:color="auto" w:fill="auto"/>
            <w:noWrap/>
            <w:vAlign w:val="center"/>
            <w:hideMark/>
          </w:tcPr>
          <w:p w14:paraId="165B475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71FE73B0" w14:textId="77777777" w:rsidTr="009B0760">
        <w:trPr>
          <w:trHeight w:val="300"/>
        </w:trPr>
        <w:tc>
          <w:tcPr>
            <w:tcW w:w="1149" w:type="pct"/>
            <w:tcBorders>
              <w:top w:val="nil"/>
              <w:left w:val="nil"/>
              <w:bottom w:val="nil"/>
              <w:right w:val="nil"/>
            </w:tcBorders>
            <w:shd w:val="clear" w:color="auto" w:fill="auto"/>
            <w:noWrap/>
            <w:vAlign w:val="bottom"/>
            <w:hideMark/>
          </w:tcPr>
          <w:p w14:paraId="38C55520"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055F7E9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3B88827B"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7F028CC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0.0422454</w:t>
            </w:r>
          </w:p>
        </w:tc>
        <w:tc>
          <w:tcPr>
            <w:tcW w:w="662" w:type="pct"/>
            <w:tcBorders>
              <w:top w:val="nil"/>
              <w:left w:val="nil"/>
              <w:bottom w:val="nil"/>
              <w:right w:val="nil"/>
            </w:tcBorders>
            <w:shd w:val="clear" w:color="auto" w:fill="auto"/>
            <w:noWrap/>
            <w:vAlign w:val="center"/>
            <w:hideMark/>
          </w:tcPr>
          <w:p w14:paraId="1FDFEEA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-0.1934626</w:t>
            </w:r>
          </w:p>
        </w:tc>
        <w:tc>
          <w:tcPr>
            <w:tcW w:w="633" w:type="pct"/>
            <w:tcBorders>
              <w:top w:val="nil"/>
              <w:left w:val="nil"/>
              <w:bottom w:val="nil"/>
              <w:right w:val="nil"/>
            </w:tcBorders>
            <w:shd w:val="clear" w:color="auto" w:fill="auto"/>
            <w:noWrap/>
            <w:vAlign w:val="center"/>
            <w:hideMark/>
          </w:tcPr>
          <w:p w14:paraId="6CD2A12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0.3296232</w:t>
            </w:r>
          </w:p>
        </w:tc>
        <w:tc>
          <w:tcPr>
            <w:tcW w:w="742" w:type="pct"/>
            <w:tcBorders>
              <w:top w:val="nil"/>
              <w:left w:val="nil"/>
              <w:bottom w:val="nil"/>
              <w:right w:val="nil"/>
            </w:tcBorders>
            <w:shd w:val="clear" w:color="auto" w:fill="auto"/>
            <w:noWrap/>
            <w:vAlign w:val="center"/>
            <w:hideMark/>
          </w:tcPr>
          <w:p w14:paraId="677E43D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13.9924</w:t>
            </w:r>
          </w:p>
        </w:tc>
      </w:tr>
      <w:tr w:rsidR="009B0760" w:rsidRPr="001814FF" w14:paraId="64EB97B7"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49A91130"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760527C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3ED469E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75F027D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1934A01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12EF906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0B84137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1F11154D" w14:textId="77777777" w:rsidTr="009B0760">
        <w:trPr>
          <w:trHeight w:val="300"/>
        </w:trPr>
        <w:tc>
          <w:tcPr>
            <w:tcW w:w="1149" w:type="pct"/>
            <w:tcBorders>
              <w:top w:val="nil"/>
              <w:left w:val="nil"/>
              <w:bottom w:val="nil"/>
              <w:right w:val="nil"/>
            </w:tcBorders>
            <w:shd w:val="clear" w:color="auto" w:fill="auto"/>
            <w:noWrap/>
            <w:vAlign w:val="center"/>
            <w:hideMark/>
          </w:tcPr>
          <w:p w14:paraId="3D283F5E"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manufacture</w:t>
            </w:r>
          </w:p>
        </w:tc>
        <w:tc>
          <w:tcPr>
            <w:tcW w:w="548" w:type="pct"/>
            <w:tcBorders>
              <w:top w:val="nil"/>
              <w:left w:val="nil"/>
              <w:bottom w:val="nil"/>
              <w:right w:val="nil"/>
            </w:tcBorders>
            <w:shd w:val="clear" w:color="auto" w:fill="auto"/>
            <w:noWrap/>
            <w:vAlign w:val="center"/>
            <w:hideMark/>
          </w:tcPr>
          <w:p w14:paraId="4C13C49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2D6A1E6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0.150221</w:t>
            </w:r>
          </w:p>
        </w:tc>
        <w:tc>
          <w:tcPr>
            <w:tcW w:w="633" w:type="pct"/>
            <w:tcBorders>
              <w:top w:val="nil"/>
              <w:left w:val="nil"/>
              <w:bottom w:val="nil"/>
              <w:right w:val="nil"/>
            </w:tcBorders>
            <w:shd w:val="clear" w:color="auto" w:fill="auto"/>
            <w:noWrap/>
            <w:vAlign w:val="center"/>
            <w:hideMark/>
          </w:tcPr>
          <w:p w14:paraId="5B1D938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0.1799946</w:t>
            </w:r>
          </w:p>
        </w:tc>
        <w:tc>
          <w:tcPr>
            <w:tcW w:w="662" w:type="pct"/>
            <w:tcBorders>
              <w:top w:val="nil"/>
              <w:left w:val="nil"/>
              <w:bottom w:val="nil"/>
              <w:right w:val="nil"/>
            </w:tcBorders>
            <w:shd w:val="clear" w:color="auto" w:fill="auto"/>
            <w:noWrap/>
            <w:vAlign w:val="center"/>
            <w:hideMark/>
          </w:tcPr>
          <w:p w14:paraId="18B0DB9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1.66E-06</w:t>
            </w:r>
          </w:p>
        </w:tc>
        <w:tc>
          <w:tcPr>
            <w:tcW w:w="633" w:type="pct"/>
            <w:tcBorders>
              <w:top w:val="nil"/>
              <w:left w:val="nil"/>
              <w:bottom w:val="nil"/>
              <w:right w:val="nil"/>
            </w:tcBorders>
            <w:shd w:val="clear" w:color="auto" w:fill="auto"/>
            <w:noWrap/>
            <w:vAlign w:val="center"/>
            <w:hideMark/>
          </w:tcPr>
          <w:p w14:paraId="53E5D36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1.545786</w:t>
            </w:r>
          </w:p>
        </w:tc>
        <w:tc>
          <w:tcPr>
            <w:tcW w:w="742" w:type="pct"/>
            <w:tcBorders>
              <w:top w:val="nil"/>
              <w:left w:val="nil"/>
              <w:bottom w:val="nil"/>
              <w:right w:val="nil"/>
            </w:tcBorders>
            <w:shd w:val="clear" w:color="auto" w:fill="auto"/>
            <w:noWrap/>
            <w:vAlign w:val="center"/>
            <w:hideMark/>
          </w:tcPr>
          <w:p w14:paraId="32EBE73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1651</w:t>
            </w:r>
          </w:p>
        </w:tc>
      </w:tr>
      <w:tr w:rsidR="009B0760" w:rsidRPr="001814FF" w14:paraId="2DD27249" w14:textId="77777777" w:rsidTr="009B0760">
        <w:trPr>
          <w:trHeight w:val="300"/>
        </w:trPr>
        <w:tc>
          <w:tcPr>
            <w:tcW w:w="1149" w:type="pct"/>
            <w:tcBorders>
              <w:top w:val="nil"/>
              <w:left w:val="nil"/>
              <w:bottom w:val="nil"/>
              <w:right w:val="nil"/>
            </w:tcBorders>
            <w:shd w:val="clear" w:color="auto" w:fill="auto"/>
            <w:noWrap/>
            <w:vAlign w:val="bottom"/>
            <w:hideMark/>
          </w:tcPr>
          <w:p w14:paraId="6D6ADDEC"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37D0945B"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57D83702"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1CC31A4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0.176313</w:t>
            </w:r>
          </w:p>
        </w:tc>
        <w:tc>
          <w:tcPr>
            <w:tcW w:w="662" w:type="pct"/>
            <w:tcBorders>
              <w:top w:val="nil"/>
              <w:left w:val="nil"/>
              <w:bottom w:val="nil"/>
              <w:right w:val="nil"/>
            </w:tcBorders>
            <w:shd w:val="clear" w:color="auto" w:fill="auto"/>
            <w:noWrap/>
            <w:vAlign w:val="center"/>
            <w:hideMark/>
          </w:tcPr>
          <w:p w14:paraId="03D4B5E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0.0002292</w:t>
            </w:r>
          </w:p>
        </w:tc>
        <w:tc>
          <w:tcPr>
            <w:tcW w:w="633" w:type="pct"/>
            <w:tcBorders>
              <w:top w:val="nil"/>
              <w:left w:val="nil"/>
              <w:bottom w:val="nil"/>
              <w:right w:val="nil"/>
            </w:tcBorders>
            <w:shd w:val="clear" w:color="auto" w:fill="auto"/>
            <w:noWrap/>
            <w:vAlign w:val="center"/>
            <w:hideMark/>
          </w:tcPr>
          <w:p w14:paraId="1252D55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1.250382</w:t>
            </w:r>
          </w:p>
        </w:tc>
        <w:tc>
          <w:tcPr>
            <w:tcW w:w="742" w:type="pct"/>
            <w:tcBorders>
              <w:top w:val="nil"/>
              <w:left w:val="nil"/>
              <w:bottom w:val="nil"/>
              <w:right w:val="nil"/>
            </w:tcBorders>
            <w:shd w:val="clear" w:color="auto" w:fill="auto"/>
            <w:noWrap/>
            <w:vAlign w:val="center"/>
            <w:hideMark/>
          </w:tcPr>
          <w:p w14:paraId="0ECEC7C4"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1443F9AA" w14:textId="77777777" w:rsidTr="009B0760">
        <w:trPr>
          <w:trHeight w:val="300"/>
        </w:trPr>
        <w:tc>
          <w:tcPr>
            <w:tcW w:w="1149" w:type="pct"/>
            <w:tcBorders>
              <w:top w:val="nil"/>
              <w:left w:val="nil"/>
              <w:bottom w:val="nil"/>
              <w:right w:val="nil"/>
            </w:tcBorders>
            <w:shd w:val="clear" w:color="auto" w:fill="auto"/>
            <w:noWrap/>
            <w:vAlign w:val="bottom"/>
            <w:hideMark/>
          </w:tcPr>
          <w:p w14:paraId="7D772A51"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5F9F506C"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7DDD27C2"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284B263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0.0420577</w:t>
            </w:r>
          </w:p>
        </w:tc>
        <w:tc>
          <w:tcPr>
            <w:tcW w:w="662" w:type="pct"/>
            <w:tcBorders>
              <w:top w:val="nil"/>
              <w:left w:val="nil"/>
              <w:bottom w:val="nil"/>
              <w:right w:val="nil"/>
            </w:tcBorders>
            <w:shd w:val="clear" w:color="auto" w:fill="auto"/>
            <w:noWrap/>
            <w:vAlign w:val="center"/>
            <w:hideMark/>
          </w:tcPr>
          <w:p w14:paraId="6606568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-0.1074521</w:t>
            </w:r>
          </w:p>
        </w:tc>
        <w:tc>
          <w:tcPr>
            <w:tcW w:w="633" w:type="pct"/>
            <w:tcBorders>
              <w:top w:val="nil"/>
              <w:left w:val="nil"/>
              <w:bottom w:val="nil"/>
              <w:right w:val="nil"/>
            </w:tcBorders>
            <w:shd w:val="clear" w:color="auto" w:fill="auto"/>
            <w:noWrap/>
            <w:vAlign w:val="center"/>
            <w:hideMark/>
          </w:tcPr>
          <w:p w14:paraId="1C31B87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0.4456247</w:t>
            </w:r>
          </w:p>
        </w:tc>
        <w:tc>
          <w:tcPr>
            <w:tcW w:w="742" w:type="pct"/>
            <w:tcBorders>
              <w:top w:val="nil"/>
              <w:left w:val="nil"/>
              <w:bottom w:val="nil"/>
              <w:right w:val="nil"/>
            </w:tcBorders>
            <w:shd w:val="clear" w:color="auto" w:fill="auto"/>
            <w:noWrap/>
            <w:vAlign w:val="center"/>
            <w:hideMark/>
          </w:tcPr>
          <w:p w14:paraId="3A7E245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12.5076</w:t>
            </w:r>
          </w:p>
        </w:tc>
      </w:tr>
      <w:tr w:rsidR="009B0760" w:rsidRPr="001814FF" w14:paraId="5DC03DDF"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0ECDB81E"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051D03B6"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4524020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116FC1F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07718D6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2A4B873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2E8FCD3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4BA3564C" w14:textId="77777777" w:rsidTr="009B0760">
        <w:trPr>
          <w:trHeight w:val="300"/>
        </w:trPr>
        <w:tc>
          <w:tcPr>
            <w:tcW w:w="1149" w:type="pct"/>
            <w:tcBorders>
              <w:top w:val="nil"/>
              <w:left w:val="nil"/>
              <w:bottom w:val="nil"/>
              <w:right w:val="nil"/>
            </w:tcBorders>
            <w:shd w:val="clear" w:color="auto" w:fill="auto"/>
            <w:noWrap/>
            <w:vAlign w:val="center"/>
            <w:hideMark/>
          </w:tcPr>
          <w:p w14:paraId="33128920"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agriculture</w:t>
            </w:r>
          </w:p>
        </w:tc>
        <w:tc>
          <w:tcPr>
            <w:tcW w:w="548" w:type="pct"/>
            <w:tcBorders>
              <w:top w:val="nil"/>
              <w:left w:val="nil"/>
              <w:bottom w:val="nil"/>
              <w:right w:val="nil"/>
            </w:tcBorders>
            <w:shd w:val="clear" w:color="auto" w:fill="auto"/>
            <w:noWrap/>
            <w:vAlign w:val="center"/>
            <w:hideMark/>
          </w:tcPr>
          <w:p w14:paraId="692366C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0E2B4F3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0.1427335</w:t>
            </w:r>
          </w:p>
        </w:tc>
        <w:tc>
          <w:tcPr>
            <w:tcW w:w="633" w:type="pct"/>
            <w:tcBorders>
              <w:top w:val="nil"/>
              <w:left w:val="nil"/>
              <w:bottom w:val="nil"/>
              <w:right w:val="nil"/>
            </w:tcBorders>
            <w:shd w:val="clear" w:color="auto" w:fill="auto"/>
            <w:noWrap/>
            <w:vAlign w:val="center"/>
            <w:hideMark/>
          </w:tcPr>
          <w:p w14:paraId="2E8BBAA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0.1309526</w:t>
            </w:r>
          </w:p>
        </w:tc>
        <w:tc>
          <w:tcPr>
            <w:tcW w:w="662" w:type="pct"/>
            <w:tcBorders>
              <w:top w:val="nil"/>
              <w:left w:val="nil"/>
              <w:bottom w:val="nil"/>
              <w:right w:val="nil"/>
            </w:tcBorders>
            <w:shd w:val="clear" w:color="auto" w:fill="auto"/>
            <w:noWrap/>
            <w:vAlign w:val="center"/>
            <w:hideMark/>
          </w:tcPr>
          <w:p w14:paraId="4184EDF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w:t>
            </w:r>
          </w:p>
        </w:tc>
        <w:tc>
          <w:tcPr>
            <w:tcW w:w="633" w:type="pct"/>
            <w:tcBorders>
              <w:top w:val="nil"/>
              <w:left w:val="nil"/>
              <w:bottom w:val="nil"/>
              <w:right w:val="nil"/>
            </w:tcBorders>
            <w:shd w:val="clear" w:color="auto" w:fill="auto"/>
            <w:noWrap/>
            <w:vAlign w:val="center"/>
            <w:hideMark/>
          </w:tcPr>
          <w:p w14:paraId="23AAE1C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0.6196861</w:t>
            </w:r>
          </w:p>
        </w:tc>
        <w:tc>
          <w:tcPr>
            <w:tcW w:w="742" w:type="pct"/>
            <w:tcBorders>
              <w:top w:val="nil"/>
              <w:left w:val="nil"/>
              <w:bottom w:val="nil"/>
              <w:right w:val="nil"/>
            </w:tcBorders>
            <w:shd w:val="clear" w:color="auto" w:fill="auto"/>
            <w:noWrap/>
            <w:vAlign w:val="center"/>
            <w:hideMark/>
          </w:tcPr>
          <w:p w14:paraId="6DA41AC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1783</w:t>
            </w:r>
          </w:p>
        </w:tc>
      </w:tr>
      <w:tr w:rsidR="009B0760" w:rsidRPr="001814FF" w14:paraId="41B26100" w14:textId="77777777" w:rsidTr="009B0760">
        <w:trPr>
          <w:trHeight w:val="300"/>
        </w:trPr>
        <w:tc>
          <w:tcPr>
            <w:tcW w:w="1149" w:type="pct"/>
            <w:tcBorders>
              <w:top w:val="nil"/>
              <w:left w:val="nil"/>
              <w:bottom w:val="nil"/>
              <w:right w:val="nil"/>
            </w:tcBorders>
            <w:shd w:val="clear" w:color="auto" w:fill="auto"/>
            <w:noWrap/>
            <w:vAlign w:val="bottom"/>
            <w:hideMark/>
          </w:tcPr>
          <w:p w14:paraId="543288EF"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31BC252C"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19EAD57D"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610CE15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0.1296638</w:t>
            </w:r>
          </w:p>
        </w:tc>
        <w:tc>
          <w:tcPr>
            <w:tcW w:w="662" w:type="pct"/>
            <w:tcBorders>
              <w:top w:val="nil"/>
              <w:left w:val="nil"/>
              <w:bottom w:val="nil"/>
              <w:right w:val="nil"/>
            </w:tcBorders>
            <w:shd w:val="clear" w:color="auto" w:fill="auto"/>
            <w:noWrap/>
            <w:vAlign w:val="center"/>
            <w:hideMark/>
          </w:tcPr>
          <w:p w14:paraId="462DCB0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w:t>
            </w:r>
          </w:p>
        </w:tc>
        <w:tc>
          <w:tcPr>
            <w:tcW w:w="633" w:type="pct"/>
            <w:tcBorders>
              <w:top w:val="nil"/>
              <w:left w:val="nil"/>
              <w:bottom w:val="nil"/>
              <w:right w:val="nil"/>
            </w:tcBorders>
            <w:shd w:val="clear" w:color="auto" w:fill="auto"/>
            <w:noWrap/>
            <w:vAlign w:val="center"/>
            <w:hideMark/>
          </w:tcPr>
          <w:p w14:paraId="65D1BDA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0.5412981</w:t>
            </w:r>
          </w:p>
        </w:tc>
        <w:tc>
          <w:tcPr>
            <w:tcW w:w="742" w:type="pct"/>
            <w:tcBorders>
              <w:top w:val="nil"/>
              <w:left w:val="nil"/>
              <w:bottom w:val="nil"/>
              <w:right w:val="nil"/>
            </w:tcBorders>
            <w:shd w:val="clear" w:color="auto" w:fill="auto"/>
            <w:noWrap/>
            <w:vAlign w:val="center"/>
            <w:hideMark/>
          </w:tcPr>
          <w:p w14:paraId="3A64A24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4B402338" w14:textId="77777777" w:rsidTr="009B0760">
        <w:trPr>
          <w:trHeight w:val="300"/>
        </w:trPr>
        <w:tc>
          <w:tcPr>
            <w:tcW w:w="1149" w:type="pct"/>
            <w:tcBorders>
              <w:top w:val="nil"/>
              <w:left w:val="nil"/>
              <w:bottom w:val="nil"/>
              <w:right w:val="nil"/>
            </w:tcBorders>
            <w:shd w:val="clear" w:color="auto" w:fill="auto"/>
            <w:noWrap/>
            <w:vAlign w:val="bottom"/>
            <w:hideMark/>
          </w:tcPr>
          <w:p w14:paraId="7340035B"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79CDA966"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61E8AB42"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35FEF0E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0.0285795</w:t>
            </w:r>
          </w:p>
        </w:tc>
        <w:tc>
          <w:tcPr>
            <w:tcW w:w="662" w:type="pct"/>
            <w:tcBorders>
              <w:top w:val="nil"/>
              <w:left w:val="nil"/>
              <w:bottom w:val="nil"/>
              <w:right w:val="nil"/>
            </w:tcBorders>
            <w:shd w:val="clear" w:color="auto" w:fill="auto"/>
            <w:noWrap/>
            <w:vAlign w:val="center"/>
            <w:hideMark/>
          </w:tcPr>
          <w:p w14:paraId="106C6CF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-0.0018374</w:t>
            </w:r>
          </w:p>
        </w:tc>
        <w:tc>
          <w:tcPr>
            <w:tcW w:w="633" w:type="pct"/>
            <w:tcBorders>
              <w:top w:val="nil"/>
              <w:left w:val="nil"/>
              <w:bottom w:val="nil"/>
              <w:right w:val="nil"/>
            </w:tcBorders>
            <w:shd w:val="clear" w:color="auto" w:fill="auto"/>
            <w:noWrap/>
            <w:vAlign w:val="center"/>
            <w:hideMark/>
          </w:tcPr>
          <w:p w14:paraId="2A9C14A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0.2912675</w:t>
            </w:r>
          </w:p>
        </w:tc>
        <w:tc>
          <w:tcPr>
            <w:tcW w:w="742" w:type="pct"/>
            <w:tcBorders>
              <w:top w:val="nil"/>
              <w:left w:val="nil"/>
              <w:bottom w:val="nil"/>
              <w:right w:val="nil"/>
            </w:tcBorders>
            <w:shd w:val="clear" w:color="auto" w:fill="auto"/>
            <w:noWrap/>
            <w:vAlign w:val="center"/>
            <w:hideMark/>
          </w:tcPr>
          <w:p w14:paraId="40D1CA0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13.5076</w:t>
            </w:r>
          </w:p>
        </w:tc>
      </w:tr>
      <w:tr w:rsidR="009B0760" w:rsidRPr="001814FF" w14:paraId="1E7B597C"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7693E96B"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236E920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63E5D104"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02906D8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79C7B80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7DEBBD6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57CE400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67D50D15" w14:textId="77777777" w:rsidTr="009B0760">
        <w:trPr>
          <w:trHeight w:val="300"/>
        </w:trPr>
        <w:tc>
          <w:tcPr>
            <w:tcW w:w="1149" w:type="pct"/>
            <w:tcBorders>
              <w:top w:val="nil"/>
              <w:left w:val="nil"/>
              <w:bottom w:val="nil"/>
              <w:right w:val="nil"/>
            </w:tcBorders>
            <w:shd w:val="clear" w:color="auto" w:fill="auto"/>
            <w:noWrap/>
            <w:vAlign w:val="center"/>
            <w:hideMark/>
          </w:tcPr>
          <w:p w14:paraId="7D24B712"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w:t>
            </w:r>
            <w:r w:rsidRPr="001814FF">
              <w:rPr>
                <w:rFonts w:ascii="Times New Roman" w:eastAsia="Times New Roman" w:hAnsi="Times New Roman" w:cs="Times New Roman"/>
                <w:color w:val="000000"/>
                <w:sz w:val="20"/>
                <w:szCs w:val="20"/>
              </w:rPr>
              <w:t>dp</w:t>
            </w:r>
            <w:proofErr w:type="spellEnd"/>
            <w:r>
              <w:rPr>
                <w:rFonts w:ascii="Times New Roman" w:eastAsia="Times New Roman" w:hAnsi="Times New Roman" w:cs="Times New Roman"/>
                <w:color w:val="000000"/>
                <w:sz w:val="20"/>
                <w:szCs w:val="20"/>
              </w:rPr>
              <w:t xml:space="preserve"> per </w:t>
            </w:r>
            <w:r w:rsidRPr="001814FF">
              <w:rPr>
                <w:rFonts w:ascii="Times New Roman" w:eastAsia="Times New Roman" w:hAnsi="Times New Roman" w:cs="Times New Roman"/>
                <w:color w:val="000000"/>
                <w:sz w:val="20"/>
                <w:szCs w:val="20"/>
              </w:rPr>
              <w:t>capita</w:t>
            </w:r>
          </w:p>
        </w:tc>
        <w:tc>
          <w:tcPr>
            <w:tcW w:w="548" w:type="pct"/>
            <w:tcBorders>
              <w:top w:val="nil"/>
              <w:left w:val="nil"/>
              <w:bottom w:val="nil"/>
              <w:right w:val="nil"/>
            </w:tcBorders>
            <w:shd w:val="clear" w:color="auto" w:fill="auto"/>
            <w:noWrap/>
            <w:vAlign w:val="center"/>
            <w:hideMark/>
          </w:tcPr>
          <w:p w14:paraId="04902341"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28A535E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8.687819</w:t>
            </w:r>
          </w:p>
        </w:tc>
        <w:tc>
          <w:tcPr>
            <w:tcW w:w="633" w:type="pct"/>
            <w:tcBorders>
              <w:top w:val="nil"/>
              <w:left w:val="nil"/>
              <w:bottom w:val="nil"/>
              <w:right w:val="nil"/>
            </w:tcBorders>
            <w:shd w:val="clear" w:color="auto" w:fill="auto"/>
            <w:noWrap/>
            <w:vAlign w:val="center"/>
            <w:hideMark/>
          </w:tcPr>
          <w:p w14:paraId="6510B43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1.288765</w:t>
            </w:r>
          </w:p>
        </w:tc>
        <w:tc>
          <w:tcPr>
            <w:tcW w:w="662" w:type="pct"/>
            <w:tcBorders>
              <w:top w:val="nil"/>
              <w:left w:val="nil"/>
              <w:bottom w:val="nil"/>
              <w:right w:val="nil"/>
            </w:tcBorders>
            <w:shd w:val="clear" w:color="auto" w:fill="auto"/>
            <w:noWrap/>
            <w:vAlign w:val="center"/>
            <w:hideMark/>
          </w:tcPr>
          <w:p w14:paraId="4CDF1DD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5.846806</w:t>
            </w:r>
          </w:p>
        </w:tc>
        <w:tc>
          <w:tcPr>
            <w:tcW w:w="633" w:type="pct"/>
            <w:tcBorders>
              <w:top w:val="nil"/>
              <w:left w:val="nil"/>
              <w:bottom w:val="nil"/>
              <w:right w:val="nil"/>
            </w:tcBorders>
            <w:shd w:val="clear" w:color="auto" w:fill="auto"/>
            <w:noWrap/>
            <w:vAlign w:val="center"/>
            <w:hideMark/>
          </w:tcPr>
          <w:p w14:paraId="2687A15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11.16942</w:t>
            </w:r>
          </w:p>
        </w:tc>
        <w:tc>
          <w:tcPr>
            <w:tcW w:w="742" w:type="pct"/>
            <w:tcBorders>
              <w:top w:val="nil"/>
              <w:left w:val="nil"/>
              <w:bottom w:val="nil"/>
              <w:right w:val="nil"/>
            </w:tcBorders>
            <w:shd w:val="clear" w:color="auto" w:fill="auto"/>
            <w:noWrap/>
            <w:vAlign w:val="center"/>
            <w:hideMark/>
          </w:tcPr>
          <w:p w14:paraId="3C46165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1846</w:t>
            </w:r>
          </w:p>
        </w:tc>
      </w:tr>
      <w:tr w:rsidR="009B0760" w:rsidRPr="001814FF" w14:paraId="424F6EA3" w14:textId="77777777" w:rsidTr="009B0760">
        <w:trPr>
          <w:trHeight w:val="300"/>
        </w:trPr>
        <w:tc>
          <w:tcPr>
            <w:tcW w:w="1149" w:type="pct"/>
            <w:tcBorders>
              <w:top w:val="nil"/>
              <w:left w:val="nil"/>
              <w:bottom w:val="nil"/>
              <w:right w:val="nil"/>
            </w:tcBorders>
            <w:shd w:val="clear" w:color="auto" w:fill="auto"/>
            <w:noWrap/>
            <w:vAlign w:val="bottom"/>
            <w:hideMark/>
          </w:tcPr>
          <w:p w14:paraId="7363BEE9"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549FDA25"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13808DB1"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45C8876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1.285605</w:t>
            </w:r>
          </w:p>
        </w:tc>
        <w:tc>
          <w:tcPr>
            <w:tcW w:w="662" w:type="pct"/>
            <w:tcBorders>
              <w:top w:val="nil"/>
              <w:left w:val="nil"/>
              <w:bottom w:val="nil"/>
              <w:right w:val="nil"/>
            </w:tcBorders>
            <w:shd w:val="clear" w:color="auto" w:fill="auto"/>
            <w:noWrap/>
            <w:vAlign w:val="center"/>
            <w:hideMark/>
          </w:tcPr>
          <w:p w14:paraId="38FE8A6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5.876393</w:t>
            </w:r>
          </w:p>
        </w:tc>
        <w:tc>
          <w:tcPr>
            <w:tcW w:w="633" w:type="pct"/>
            <w:tcBorders>
              <w:top w:val="nil"/>
              <w:left w:val="nil"/>
              <w:bottom w:val="nil"/>
              <w:right w:val="nil"/>
            </w:tcBorders>
            <w:shd w:val="clear" w:color="auto" w:fill="auto"/>
            <w:noWrap/>
            <w:vAlign w:val="center"/>
            <w:hideMark/>
          </w:tcPr>
          <w:p w14:paraId="1810560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11.06253</w:t>
            </w:r>
          </w:p>
        </w:tc>
        <w:tc>
          <w:tcPr>
            <w:tcW w:w="742" w:type="pct"/>
            <w:tcBorders>
              <w:top w:val="nil"/>
              <w:left w:val="nil"/>
              <w:bottom w:val="nil"/>
              <w:right w:val="nil"/>
            </w:tcBorders>
            <w:shd w:val="clear" w:color="auto" w:fill="auto"/>
            <w:noWrap/>
            <w:vAlign w:val="center"/>
            <w:hideMark/>
          </w:tcPr>
          <w:p w14:paraId="45C2193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589B8A2B" w14:textId="77777777" w:rsidTr="009B0760">
        <w:trPr>
          <w:trHeight w:val="300"/>
        </w:trPr>
        <w:tc>
          <w:tcPr>
            <w:tcW w:w="1149" w:type="pct"/>
            <w:tcBorders>
              <w:top w:val="nil"/>
              <w:left w:val="nil"/>
              <w:bottom w:val="nil"/>
              <w:right w:val="nil"/>
            </w:tcBorders>
            <w:shd w:val="clear" w:color="auto" w:fill="auto"/>
            <w:noWrap/>
            <w:vAlign w:val="bottom"/>
            <w:hideMark/>
          </w:tcPr>
          <w:p w14:paraId="7C543A81"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46555828"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5323C295"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1DECB5F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0.1489319</w:t>
            </w:r>
          </w:p>
        </w:tc>
        <w:tc>
          <w:tcPr>
            <w:tcW w:w="662" w:type="pct"/>
            <w:tcBorders>
              <w:top w:val="nil"/>
              <w:left w:val="nil"/>
              <w:bottom w:val="nil"/>
              <w:right w:val="nil"/>
            </w:tcBorders>
            <w:shd w:val="clear" w:color="auto" w:fill="auto"/>
            <w:noWrap/>
            <w:vAlign w:val="center"/>
            <w:hideMark/>
          </w:tcPr>
          <w:p w14:paraId="1D0E2E9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8.032617</w:t>
            </w:r>
          </w:p>
        </w:tc>
        <w:tc>
          <w:tcPr>
            <w:tcW w:w="633" w:type="pct"/>
            <w:tcBorders>
              <w:top w:val="nil"/>
              <w:left w:val="nil"/>
              <w:bottom w:val="nil"/>
              <w:right w:val="nil"/>
            </w:tcBorders>
            <w:shd w:val="clear" w:color="auto" w:fill="auto"/>
            <w:noWrap/>
            <w:vAlign w:val="center"/>
            <w:hideMark/>
          </w:tcPr>
          <w:p w14:paraId="441DE02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9.563109</w:t>
            </w:r>
          </w:p>
        </w:tc>
        <w:tc>
          <w:tcPr>
            <w:tcW w:w="742" w:type="pct"/>
            <w:tcBorders>
              <w:top w:val="nil"/>
              <w:left w:val="nil"/>
              <w:bottom w:val="nil"/>
              <w:right w:val="nil"/>
            </w:tcBorders>
            <w:shd w:val="clear" w:color="auto" w:fill="auto"/>
            <w:noWrap/>
            <w:vAlign w:val="center"/>
            <w:hideMark/>
          </w:tcPr>
          <w:p w14:paraId="492CD95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13.9848</w:t>
            </w:r>
          </w:p>
        </w:tc>
      </w:tr>
      <w:tr w:rsidR="009B0760" w:rsidRPr="001814FF" w14:paraId="004F7852"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6210751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2C694C59"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5EA2CD5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26AD839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699DF5A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6BE69BB4"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08F0288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62AA9550" w14:textId="77777777" w:rsidTr="009B0760">
        <w:trPr>
          <w:trHeight w:val="300"/>
        </w:trPr>
        <w:tc>
          <w:tcPr>
            <w:tcW w:w="1149" w:type="pct"/>
            <w:tcBorders>
              <w:top w:val="nil"/>
              <w:left w:val="nil"/>
              <w:bottom w:val="nil"/>
              <w:right w:val="nil"/>
            </w:tcBorders>
            <w:shd w:val="clear" w:color="auto" w:fill="auto"/>
            <w:noWrap/>
            <w:vAlign w:val="center"/>
            <w:hideMark/>
          </w:tcPr>
          <w:p w14:paraId="03C79AE3"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s</w:t>
            </w:r>
            <w:r w:rsidRPr="001814FF">
              <w:rPr>
                <w:rFonts w:ascii="Times New Roman" w:eastAsia="Times New Roman" w:hAnsi="Times New Roman" w:cs="Times New Roman"/>
                <w:color w:val="000000"/>
                <w:sz w:val="20"/>
                <w:szCs w:val="20"/>
              </w:rPr>
              <w:t>choolage</w:t>
            </w:r>
            <w:proofErr w:type="spellEnd"/>
            <w:r>
              <w:rPr>
                <w:rFonts w:ascii="Times New Roman" w:eastAsia="Times New Roman" w:hAnsi="Times New Roman" w:cs="Times New Roman"/>
                <w:color w:val="000000"/>
                <w:sz w:val="20"/>
                <w:szCs w:val="20"/>
              </w:rPr>
              <w:t xml:space="preserve"> population </w:t>
            </w:r>
          </w:p>
        </w:tc>
        <w:tc>
          <w:tcPr>
            <w:tcW w:w="548" w:type="pct"/>
            <w:tcBorders>
              <w:top w:val="nil"/>
              <w:left w:val="nil"/>
              <w:bottom w:val="nil"/>
              <w:right w:val="nil"/>
            </w:tcBorders>
            <w:shd w:val="clear" w:color="auto" w:fill="auto"/>
            <w:noWrap/>
            <w:vAlign w:val="center"/>
            <w:hideMark/>
          </w:tcPr>
          <w:p w14:paraId="1B8DB9AE"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2719077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0.5152618</w:t>
            </w:r>
          </w:p>
        </w:tc>
        <w:tc>
          <w:tcPr>
            <w:tcW w:w="633" w:type="pct"/>
            <w:tcBorders>
              <w:top w:val="nil"/>
              <w:left w:val="nil"/>
              <w:bottom w:val="nil"/>
              <w:right w:val="nil"/>
            </w:tcBorders>
            <w:shd w:val="clear" w:color="auto" w:fill="auto"/>
            <w:noWrap/>
            <w:vAlign w:val="center"/>
            <w:hideMark/>
          </w:tcPr>
          <w:p w14:paraId="063F2254"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0.1283044</w:t>
            </w:r>
          </w:p>
        </w:tc>
        <w:tc>
          <w:tcPr>
            <w:tcW w:w="662" w:type="pct"/>
            <w:tcBorders>
              <w:top w:val="nil"/>
              <w:left w:val="nil"/>
              <w:bottom w:val="nil"/>
              <w:right w:val="nil"/>
            </w:tcBorders>
            <w:shd w:val="clear" w:color="auto" w:fill="auto"/>
            <w:noWrap/>
            <w:vAlign w:val="center"/>
            <w:hideMark/>
          </w:tcPr>
          <w:p w14:paraId="3F14A90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0.0877251</w:t>
            </w:r>
          </w:p>
        </w:tc>
        <w:tc>
          <w:tcPr>
            <w:tcW w:w="633" w:type="pct"/>
            <w:tcBorders>
              <w:top w:val="nil"/>
              <w:left w:val="nil"/>
              <w:bottom w:val="nil"/>
              <w:right w:val="nil"/>
            </w:tcBorders>
            <w:shd w:val="clear" w:color="auto" w:fill="auto"/>
            <w:noWrap/>
            <w:vAlign w:val="center"/>
            <w:hideMark/>
          </w:tcPr>
          <w:p w14:paraId="16A6203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0.7828103</w:t>
            </w:r>
          </w:p>
        </w:tc>
        <w:tc>
          <w:tcPr>
            <w:tcW w:w="742" w:type="pct"/>
            <w:tcBorders>
              <w:top w:val="nil"/>
              <w:left w:val="nil"/>
              <w:bottom w:val="nil"/>
              <w:right w:val="nil"/>
            </w:tcBorders>
            <w:shd w:val="clear" w:color="auto" w:fill="auto"/>
            <w:noWrap/>
            <w:vAlign w:val="center"/>
            <w:hideMark/>
          </w:tcPr>
          <w:p w14:paraId="7E2EC0E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1838</w:t>
            </w:r>
          </w:p>
        </w:tc>
      </w:tr>
      <w:tr w:rsidR="009B0760" w:rsidRPr="001814FF" w14:paraId="39D56280" w14:textId="77777777" w:rsidTr="009B0760">
        <w:trPr>
          <w:trHeight w:val="300"/>
        </w:trPr>
        <w:tc>
          <w:tcPr>
            <w:tcW w:w="1149" w:type="pct"/>
            <w:tcBorders>
              <w:top w:val="nil"/>
              <w:left w:val="nil"/>
              <w:bottom w:val="nil"/>
              <w:right w:val="nil"/>
            </w:tcBorders>
            <w:shd w:val="clear" w:color="auto" w:fill="auto"/>
            <w:noWrap/>
            <w:vAlign w:val="bottom"/>
            <w:hideMark/>
          </w:tcPr>
          <w:p w14:paraId="452EF79A"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35DDAB1C"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13FA14AF"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7BF84A4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0.1244458</w:t>
            </w:r>
          </w:p>
        </w:tc>
        <w:tc>
          <w:tcPr>
            <w:tcW w:w="662" w:type="pct"/>
            <w:tcBorders>
              <w:top w:val="nil"/>
              <w:left w:val="nil"/>
              <w:bottom w:val="nil"/>
              <w:right w:val="nil"/>
            </w:tcBorders>
            <w:shd w:val="clear" w:color="auto" w:fill="auto"/>
            <w:noWrap/>
            <w:vAlign w:val="center"/>
            <w:hideMark/>
          </w:tcPr>
          <w:p w14:paraId="7F4745C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0.2857989</w:t>
            </w:r>
          </w:p>
        </w:tc>
        <w:tc>
          <w:tcPr>
            <w:tcW w:w="633" w:type="pct"/>
            <w:tcBorders>
              <w:top w:val="nil"/>
              <w:left w:val="nil"/>
              <w:bottom w:val="nil"/>
              <w:right w:val="nil"/>
            </w:tcBorders>
            <w:shd w:val="clear" w:color="auto" w:fill="auto"/>
            <w:noWrap/>
            <w:vAlign w:val="center"/>
            <w:hideMark/>
          </w:tcPr>
          <w:p w14:paraId="6C4E0E4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0.7320508</w:t>
            </w:r>
          </w:p>
        </w:tc>
        <w:tc>
          <w:tcPr>
            <w:tcW w:w="742" w:type="pct"/>
            <w:tcBorders>
              <w:top w:val="nil"/>
              <w:left w:val="nil"/>
              <w:bottom w:val="nil"/>
              <w:right w:val="nil"/>
            </w:tcBorders>
            <w:shd w:val="clear" w:color="auto" w:fill="auto"/>
            <w:noWrap/>
            <w:vAlign w:val="center"/>
            <w:hideMark/>
          </w:tcPr>
          <w:p w14:paraId="0987CD2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08A565B2" w14:textId="77777777" w:rsidTr="009B0760">
        <w:trPr>
          <w:trHeight w:val="300"/>
        </w:trPr>
        <w:tc>
          <w:tcPr>
            <w:tcW w:w="1149" w:type="pct"/>
            <w:tcBorders>
              <w:top w:val="nil"/>
              <w:left w:val="nil"/>
              <w:bottom w:val="nil"/>
              <w:right w:val="nil"/>
            </w:tcBorders>
            <w:shd w:val="clear" w:color="auto" w:fill="auto"/>
            <w:noWrap/>
            <w:vAlign w:val="bottom"/>
            <w:hideMark/>
          </w:tcPr>
          <w:p w14:paraId="4A309779"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452FE808"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59E54409"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4B6FF1E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0.0328315</w:t>
            </w:r>
          </w:p>
        </w:tc>
        <w:tc>
          <w:tcPr>
            <w:tcW w:w="662" w:type="pct"/>
            <w:tcBorders>
              <w:top w:val="nil"/>
              <w:left w:val="nil"/>
              <w:bottom w:val="nil"/>
              <w:right w:val="nil"/>
            </w:tcBorders>
            <w:shd w:val="clear" w:color="auto" w:fill="auto"/>
            <w:noWrap/>
            <w:vAlign w:val="center"/>
            <w:hideMark/>
          </w:tcPr>
          <w:p w14:paraId="209FDC3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0.1558916</w:t>
            </w:r>
          </w:p>
        </w:tc>
        <w:tc>
          <w:tcPr>
            <w:tcW w:w="633" w:type="pct"/>
            <w:tcBorders>
              <w:top w:val="nil"/>
              <w:left w:val="nil"/>
              <w:bottom w:val="nil"/>
              <w:right w:val="nil"/>
            </w:tcBorders>
            <w:shd w:val="clear" w:color="auto" w:fill="auto"/>
            <w:noWrap/>
            <w:vAlign w:val="center"/>
            <w:hideMark/>
          </w:tcPr>
          <w:p w14:paraId="2FD03E1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0.8809171</w:t>
            </w:r>
          </w:p>
        </w:tc>
        <w:tc>
          <w:tcPr>
            <w:tcW w:w="742" w:type="pct"/>
            <w:tcBorders>
              <w:top w:val="nil"/>
              <w:left w:val="nil"/>
              <w:bottom w:val="nil"/>
              <w:right w:val="nil"/>
            </w:tcBorders>
            <w:shd w:val="clear" w:color="auto" w:fill="auto"/>
            <w:noWrap/>
            <w:vAlign w:val="center"/>
            <w:hideMark/>
          </w:tcPr>
          <w:p w14:paraId="62EBBC5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13.9242</w:t>
            </w:r>
          </w:p>
        </w:tc>
      </w:tr>
      <w:tr w:rsidR="009B0760" w:rsidRPr="001814FF" w14:paraId="7151B0BF"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4C3B1C74"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12BF703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55410BA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3B67FFE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1FD1D1C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4F6ABA34"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4C764C1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1F7B39CA" w14:textId="77777777" w:rsidTr="009B0760">
        <w:trPr>
          <w:trHeight w:val="300"/>
        </w:trPr>
        <w:tc>
          <w:tcPr>
            <w:tcW w:w="1149" w:type="pct"/>
            <w:tcBorders>
              <w:top w:val="nil"/>
              <w:left w:val="nil"/>
              <w:bottom w:val="nil"/>
              <w:right w:val="nil"/>
            </w:tcBorders>
            <w:shd w:val="clear" w:color="auto" w:fill="auto"/>
            <w:noWrap/>
            <w:vAlign w:val="center"/>
            <w:hideMark/>
          </w:tcPr>
          <w:p w14:paraId="65F67789"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Pr="001814FF">
              <w:rPr>
                <w:rFonts w:ascii="Times New Roman" w:eastAsia="Times New Roman" w:hAnsi="Times New Roman" w:cs="Times New Roman"/>
                <w:color w:val="000000"/>
                <w:sz w:val="20"/>
                <w:szCs w:val="20"/>
              </w:rPr>
              <w:t>ld</w:t>
            </w:r>
            <w:r>
              <w:rPr>
                <w:rFonts w:ascii="Times New Roman" w:eastAsia="Times New Roman" w:hAnsi="Times New Roman" w:cs="Times New Roman"/>
                <w:color w:val="000000"/>
                <w:sz w:val="20"/>
                <w:szCs w:val="20"/>
              </w:rPr>
              <w:t xml:space="preserve"> </w:t>
            </w:r>
            <w:r w:rsidRPr="001814FF">
              <w:rPr>
                <w:rFonts w:ascii="Times New Roman" w:eastAsia="Times New Roman" w:hAnsi="Times New Roman" w:cs="Times New Roman"/>
                <w:color w:val="000000"/>
                <w:sz w:val="20"/>
                <w:szCs w:val="20"/>
              </w:rPr>
              <w:t>population</w:t>
            </w:r>
          </w:p>
        </w:tc>
        <w:tc>
          <w:tcPr>
            <w:tcW w:w="548" w:type="pct"/>
            <w:tcBorders>
              <w:top w:val="nil"/>
              <w:left w:val="nil"/>
              <w:bottom w:val="nil"/>
              <w:right w:val="nil"/>
            </w:tcBorders>
            <w:shd w:val="clear" w:color="auto" w:fill="auto"/>
            <w:noWrap/>
            <w:vAlign w:val="center"/>
            <w:hideMark/>
          </w:tcPr>
          <w:p w14:paraId="3B54AF31"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3AD1BE4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0.0764213</w:t>
            </w:r>
          </w:p>
        </w:tc>
        <w:tc>
          <w:tcPr>
            <w:tcW w:w="633" w:type="pct"/>
            <w:tcBorders>
              <w:top w:val="nil"/>
              <w:left w:val="nil"/>
              <w:bottom w:val="nil"/>
              <w:right w:val="nil"/>
            </w:tcBorders>
            <w:shd w:val="clear" w:color="auto" w:fill="auto"/>
            <w:noWrap/>
            <w:vAlign w:val="center"/>
            <w:hideMark/>
          </w:tcPr>
          <w:p w14:paraId="1B7D443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0.0502971</w:t>
            </w:r>
          </w:p>
        </w:tc>
        <w:tc>
          <w:tcPr>
            <w:tcW w:w="662" w:type="pct"/>
            <w:tcBorders>
              <w:top w:val="nil"/>
              <w:left w:val="nil"/>
              <w:bottom w:val="nil"/>
              <w:right w:val="nil"/>
            </w:tcBorders>
            <w:shd w:val="clear" w:color="auto" w:fill="auto"/>
            <w:noWrap/>
            <w:vAlign w:val="center"/>
            <w:hideMark/>
          </w:tcPr>
          <w:p w14:paraId="2FAFDCE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0.0044591</w:t>
            </w:r>
          </w:p>
        </w:tc>
        <w:tc>
          <w:tcPr>
            <w:tcW w:w="633" w:type="pct"/>
            <w:tcBorders>
              <w:top w:val="nil"/>
              <w:left w:val="nil"/>
              <w:bottom w:val="nil"/>
              <w:right w:val="nil"/>
            </w:tcBorders>
            <w:shd w:val="clear" w:color="auto" w:fill="auto"/>
            <w:noWrap/>
            <w:vAlign w:val="center"/>
            <w:hideMark/>
          </w:tcPr>
          <w:p w14:paraId="08BB919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0.2204764</w:t>
            </w:r>
          </w:p>
        </w:tc>
        <w:tc>
          <w:tcPr>
            <w:tcW w:w="742" w:type="pct"/>
            <w:tcBorders>
              <w:top w:val="nil"/>
              <w:left w:val="nil"/>
              <w:bottom w:val="nil"/>
              <w:right w:val="nil"/>
            </w:tcBorders>
            <w:shd w:val="clear" w:color="auto" w:fill="auto"/>
            <w:noWrap/>
            <w:vAlign w:val="center"/>
            <w:hideMark/>
          </w:tcPr>
          <w:p w14:paraId="1ECC523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1848</w:t>
            </w:r>
          </w:p>
        </w:tc>
      </w:tr>
      <w:tr w:rsidR="009B0760" w:rsidRPr="001814FF" w14:paraId="12E3D026" w14:textId="77777777" w:rsidTr="009B0760">
        <w:trPr>
          <w:trHeight w:val="300"/>
        </w:trPr>
        <w:tc>
          <w:tcPr>
            <w:tcW w:w="1149" w:type="pct"/>
            <w:tcBorders>
              <w:top w:val="nil"/>
              <w:left w:val="nil"/>
              <w:bottom w:val="nil"/>
              <w:right w:val="nil"/>
            </w:tcBorders>
            <w:shd w:val="clear" w:color="auto" w:fill="auto"/>
            <w:noWrap/>
            <w:vAlign w:val="bottom"/>
            <w:hideMark/>
          </w:tcPr>
          <w:p w14:paraId="5564AF22"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129F8066"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0C0D82C1"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7D5DD45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0.0501886</w:t>
            </w:r>
          </w:p>
        </w:tc>
        <w:tc>
          <w:tcPr>
            <w:tcW w:w="662" w:type="pct"/>
            <w:tcBorders>
              <w:top w:val="nil"/>
              <w:left w:val="nil"/>
              <w:bottom w:val="nil"/>
              <w:right w:val="nil"/>
            </w:tcBorders>
            <w:shd w:val="clear" w:color="auto" w:fill="auto"/>
            <w:noWrap/>
            <w:vAlign w:val="center"/>
            <w:hideMark/>
          </w:tcPr>
          <w:p w14:paraId="13A8109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0.0086851</w:t>
            </w:r>
          </w:p>
        </w:tc>
        <w:tc>
          <w:tcPr>
            <w:tcW w:w="633" w:type="pct"/>
            <w:tcBorders>
              <w:top w:val="nil"/>
              <w:left w:val="nil"/>
              <w:bottom w:val="nil"/>
              <w:right w:val="nil"/>
            </w:tcBorders>
            <w:shd w:val="clear" w:color="auto" w:fill="auto"/>
            <w:noWrap/>
            <w:vAlign w:val="center"/>
            <w:hideMark/>
          </w:tcPr>
          <w:p w14:paraId="3190EB1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0.1883664</w:t>
            </w:r>
          </w:p>
        </w:tc>
        <w:tc>
          <w:tcPr>
            <w:tcW w:w="742" w:type="pct"/>
            <w:tcBorders>
              <w:top w:val="nil"/>
              <w:left w:val="nil"/>
              <w:bottom w:val="nil"/>
              <w:right w:val="nil"/>
            </w:tcBorders>
            <w:shd w:val="clear" w:color="auto" w:fill="auto"/>
            <w:noWrap/>
            <w:vAlign w:val="center"/>
            <w:hideMark/>
          </w:tcPr>
          <w:p w14:paraId="1F97855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4EE51FE1" w14:textId="77777777" w:rsidTr="009B0760">
        <w:trPr>
          <w:trHeight w:val="300"/>
        </w:trPr>
        <w:tc>
          <w:tcPr>
            <w:tcW w:w="1149" w:type="pct"/>
            <w:tcBorders>
              <w:top w:val="nil"/>
              <w:left w:val="nil"/>
              <w:bottom w:val="nil"/>
              <w:right w:val="nil"/>
            </w:tcBorders>
            <w:shd w:val="clear" w:color="auto" w:fill="auto"/>
            <w:noWrap/>
            <w:vAlign w:val="bottom"/>
            <w:hideMark/>
          </w:tcPr>
          <w:p w14:paraId="48B4FE59"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628E6D2E"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0CFF572E"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3AC02E8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0.0053506</w:t>
            </w:r>
          </w:p>
        </w:tc>
        <w:tc>
          <w:tcPr>
            <w:tcW w:w="662" w:type="pct"/>
            <w:tcBorders>
              <w:top w:val="nil"/>
              <w:left w:val="nil"/>
              <w:bottom w:val="nil"/>
              <w:right w:val="nil"/>
            </w:tcBorders>
            <w:shd w:val="clear" w:color="auto" w:fill="auto"/>
            <w:noWrap/>
            <w:vAlign w:val="center"/>
            <w:hideMark/>
          </w:tcPr>
          <w:p w14:paraId="79C6522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0.0407663</w:t>
            </w:r>
          </w:p>
        </w:tc>
        <w:tc>
          <w:tcPr>
            <w:tcW w:w="633" w:type="pct"/>
            <w:tcBorders>
              <w:top w:val="nil"/>
              <w:left w:val="nil"/>
              <w:bottom w:val="nil"/>
              <w:right w:val="nil"/>
            </w:tcBorders>
            <w:shd w:val="clear" w:color="auto" w:fill="auto"/>
            <w:noWrap/>
            <w:vAlign w:val="center"/>
            <w:hideMark/>
          </w:tcPr>
          <w:p w14:paraId="4849885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0.1118534</w:t>
            </w:r>
          </w:p>
        </w:tc>
        <w:tc>
          <w:tcPr>
            <w:tcW w:w="742" w:type="pct"/>
            <w:tcBorders>
              <w:top w:val="nil"/>
              <w:left w:val="nil"/>
              <w:bottom w:val="nil"/>
              <w:right w:val="nil"/>
            </w:tcBorders>
            <w:shd w:val="clear" w:color="auto" w:fill="auto"/>
            <w:noWrap/>
            <w:vAlign w:val="center"/>
            <w:hideMark/>
          </w:tcPr>
          <w:p w14:paraId="48004F0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14</w:t>
            </w:r>
          </w:p>
        </w:tc>
      </w:tr>
      <w:tr w:rsidR="009B0760" w:rsidRPr="001814FF" w14:paraId="71AB3228"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4704CE22"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1E64CE90"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1C55267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09B2110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0F450DC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672EF81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0FEF7D6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598FE92E" w14:textId="77777777" w:rsidTr="009B0760">
        <w:trPr>
          <w:trHeight w:val="300"/>
        </w:trPr>
        <w:tc>
          <w:tcPr>
            <w:tcW w:w="1149" w:type="pct"/>
            <w:tcBorders>
              <w:top w:val="nil"/>
              <w:left w:val="nil"/>
              <w:bottom w:val="nil"/>
              <w:right w:val="nil"/>
            </w:tcBorders>
            <w:shd w:val="clear" w:color="auto" w:fill="auto"/>
            <w:noWrap/>
            <w:vAlign w:val="center"/>
            <w:hideMark/>
          </w:tcPr>
          <w:p w14:paraId="4FB022E3"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w:t>
            </w:r>
            <w:r w:rsidRPr="001814FF">
              <w:rPr>
                <w:rFonts w:ascii="Times New Roman" w:eastAsia="Times New Roman" w:hAnsi="Times New Roman" w:cs="Times New Roman"/>
                <w:color w:val="000000"/>
                <w:sz w:val="20"/>
                <w:szCs w:val="20"/>
              </w:rPr>
              <w:t>dp</w:t>
            </w:r>
            <w:proofErr w:type="spellEnd"/>
            <w:r>
              <w:rPr>
                <w:rFonts w:ascii="Times New Roman" w:eastAsia="Times New Roman" w:hAnsi="Times New Roman" w:cs="Times New Roman"/>
                <w:color w:val="000000"/>
                <w:sz w:val="20"/>
                <w:szCs w:val="20"/>
              </w:rPr>
              <w:t xml:space="preserve"> </w:t>
            </w:r>
            <w:r w:rsidRPr="001814FF">
              <w:rPr>
                <w:rFonts w:ascii="Times New Roman" w:eastAsia="Times New Roman" w:hAnsi="Times New Roman" w:cs="Times New Roman"/>
                <w:color w:val="000000"/>
                <w:sz w:val="20"/>
                <w:szCs w:val="20"/>
              </w:rPr>
              <w:t>growth</w:t>
            </w:r>
          </w:p>
        </w:tc>
        <w:tc>
          <w:tcPr>
            <w:tcW w:w="548" w:type="pct"/>
            <w:tcBorders>
              <w:top w:val="nil"/>
              <w:left w:val="nil"/>
              <w:bottom w:val="nil"/>
              <w:right w:val="nil"/>
            </w:tcBorders>
            <w:shd w:val="clear" w:color="auto" w:fill="auto"/>
            <w:noWrap/>
            <w:vAlign w:val="center"/>
            <w:hideMark/>
          </w:tcPr>
          <w:p w14:paraId="33375022"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6C09F0E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0.025331</w:t>
            </w:r>
          </w:p>
        </w:tc>
        <w:tc>
          <w:tcPr>
            <w:tcW w:w="633" w:type="pct"/>
            <w:tcBorders>
              <w:top w:val="nil"/>
              <w:left w:val="nil"/>
              <w:bottom w:val="nil"/>
              <w:right w:val="nil"/>
            </w:tcBorders>
            <w:shd w:val="clear" w:color="auto" w:fill="auto"/>
            <w:noWrap/>
            <w:vAlign w:val="center"/>
            <w:hideMark/>
          </w:tcPr>
          <w:p w14:paraId="546AE15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0.0421752</w:t>
            </w:r>
          </w:p>
        </w:tc>
        <w:tc>
          <w:tcPr>
            <w:tcW w:w="662" w:type="pct"/>
            <w:tcBorders>
              <w:top w:val="nil"/>
              <w:left w:val="nil"/>
              <w:bottom w:val="nil"/>
              <w:right w:val="nil"/>
            </w:tcBorders>
            <w:shd w:val="clear" w:color="auto" w:fill="auto"/>
            <w:noWrap/>
            <w:vAlign w:val="center"/>
            <w:hideMark/>
          </w:tcPr>
          <w:p w14:paraId="2353E5A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-0.1754528</w:t>
            </w:r>
          </w:p>
        </w:tc>
        <w:tc>
          <w:tcPr>
            <w:tcW w:w="633" w:type="pct"/>
            <w:tcBorders>
              <w:top w:val="nil"/>
              <w:left w:val="nil"/>
              <w:bottom w:val="nil"/>
              <w:right w:val="nil"/>
            </w:tcBorders>
            <w:shd w:val="clear" w:color="auto" w:fill="auto"/>
            <w:noWrap/>
            <w:vAlign w:val="center"/>
            <w:hideMark/>
          </w:tcPr>
          <w:p w14:paraId="649F0F9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0.3303049</w:t>
            </w:r>
          </w:p>
        </w:tc>
        <w:tc>
          <w:tcPr>
            <w:tcW w:w="742" w:type="pct"/>
            <w:tcBorders>
              <w:top w:val="nil"/>
              <w:left w:val="nil"/>
              <w:bottom w:val="nil"/>
              <w:right w:val="nil"/>
            </w:tcBorders>
            <w:shd w:val="clear" w:color="auto" w:fill="auto"/>
            <w:noWrap/>
            <w:vAlign w:val="center"/>
            <w:hideMark/>
          </w:tcPr>
          <w:p w14:paraId="4525E35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1846</w:t>
            </w:r>
          </w:p>
        </w:tc>
      </w:tr>
      <w:tr w:rsidR="009B0760" w:rsidRPr="001814FF" w14:paraId="368F9271" w14:textId="77777777" w:rsidTr="009B0760">
        <w:trPr>
          <w:trHeight w:val="300"/>
        </w:trPr>
        <w:tc>
          <w:tcPr>
            <w:tcW w:w="1149" w:type="pct"/>
            <w:tcBorders>
              <w:top w:val="nil"/>
              <w:left w:val="nil"/>
              <w:bottom w:val="nil"/>
              <w:right w:val="nil"/>
            </w:tcBorders>
            <w:shd w:val="clear" w:color="auto" w:fill="auto"/>
            <w:noWrap/>
            <w:vAlign w:val="bottom"/>
            <w:hideMark/>
          </w:tcPr>
          <w:p w14:paraId="00F182B9"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4C30B418"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0379E21A"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75E3B52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0.0207922</w:t>
            </w:r>
          </w:p>
        </w:tc>
        <w:tc>
          <w:tcPr>
            <w:tcW w:w="662" w:type="pct"/>
            <w:tcBorders>
              <w:top w:val="nil"/>
              <w:left w:val="nil"/>
              <w:bottom w:val="nil"/>
              <w:right w:val="nil"/>
            </w:tcBorders>
            <w:shd w:val="clear" w:color="auto" w:fill="auto"/>
            <w:noWrap/>
            <w:vAlign w:val="center"/>
            <w:hideMark/>
          </w:tcPr>
          <w:p w14:paraId="3BAA158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-0.0273782</w:t>
            </w:r>
          </w:p>
        </w:tc>
        <w:tc>
          <w:tcPr>
            <w:tcW w:w="633" w:type="pct"/>
            <w:tcBorders>
              <w:top w:val="nil"/>
              <w:left w:val="nil"/>
              <w:bottom w:val="nil"/>
              <w:right w:val="nil"/>
            </w:tcBorders>
            <w:shd w:val="clear" w:color="auto" w:fill="auto"/>
            <w:noWrap/>
            <w:vAlign w:val="center"/>
            <w:hideMark/>
          </w:tcPr>
          <w:p w14:paraId="0708ACE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0.1188897</w:t>
            </w:r>
          </w:p>
        </w:tc>
        <w:tc>
          <w:tcPr>
            <w:tcW w:w="742" w:type="pct"/>
            <w:tcBorders>
              <w:top w:val="nil"/>
              <w:left w:val="nil"/>
              <w:bottom w:val="nil"/>
              <w:right w:val="nil"/>
            </w:tcBorders>
            <w:shd w:val="clear" w:color="auto" w:fill="auto"/>
            <w:noWrap/>
            <w:vAlign w:val="center"/>
            <w:hideMark/>
          </w:tcPr>
          <w:p w14:paraId="72DD804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7B095EB7" w14:textId="77777777" w:rsidTr="009B0760">
        <w:trPr>
          <w:trHeight w:val="300"/>
        </w:trPr>
        <w:tc>
          <w:tcPr>
            <w:tcW w:w="1149" w:type="pct"/>
            <w:tcBorders>
              <w:top w:val="nil"/>
              <w:left w:val="nil"/>
              <w:bottom w:val="nil"/>
              <w:right w:val="nil"/>
            </w:tcBorders>
            <w:shd w:val="clear" w:color="auto" w:fill="auto"/>
            <w:noWrap/>
            <w:vAlign w:val="bottom"/>
            <w:hideMark/>
          </w:tcPr>
          <w:p w14:paraId="3CF1C0C2"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217CA5C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45F15C59"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5770A8F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0.0367301</w:t>
            </w:r>
          </w:p>
        </w:tc>
        <w:tc>
          <w:tcPr>
            <w:tcW w:w="662" w:type="pct"/>
            <w:tcBorders>
              <w:top w:val="nil"/>
              <w:left w:val="nil"/>
              <w:bottom w:val="nil"/>
              <w:right w:val="nil"/>
            </w:tcBorders>
            <w:shd w:val="clear" w:color="auto" w:fill="auto"/>
            <w:noWrap/>
            <w:vAlign w:val="center"/>
            <w:hideMark/>
          </w:tcPr>
          <w:p w14:paraId="180F9F8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-0.2070456</w:t>
            </w:r>
          </w:p>
        </w:tc>
        <w:tc>
          <w:tcPr>
            <w:tcW w:w="633" w:type="pct"/>
            <w:tcBorders>
              <w:top w:val="nil"/>
              <w:left w:val="nil"/>
              <w:bottom w:val="nil"/>
              <w:right w:val="nil"/>
            </w:tcBorders>
            <w:shd w:val="clear" w:color="auto" w:fill="auto"/>
            <w:noWrap/>
            <w:vAlign w:val="center"/>
            <w:hideMark/>
          </w:tcPr>
          <w:p w14:paraId="2A6862B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0.2367462</w:t>
            </w:r>
          </w:p>
        </w:tc>
        <w:tc>
          <w:tcPr>
            <w:tcW w:w="742" w:type="pct"/>
            <w:tcBorders>
              <w:top w:val="nil"/>
              <w:left w:val="nil"/>
              <w:bottom w:val="nil"/>
              <w:right w:val="nil"/>
            </w:tcBorders>
            <w:shd w:val="clear" w:color="auto" w:fill="auto"/>
            <w:noWrap/>
            <w:vAlign w:val="center"/>
            <w:hideMark/>
          </w:tcPr>
          <w:p w14:paraId="01A03B2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13.9848</w:t>
            </w:r>
          </w:p>
        </w:tc>
      </w:tr>
      <w:tr w:rsidR="009B0760" w:rsidRPr="001814FF" w14:paraId="5391F501"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31838ABE"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1E6E6E92"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0D949ED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199DB89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52BEDAE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7EDFF72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71187D7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0EB8AB4A" w14:textId="77777777" w:rsidTr="009B0760">
        <w:trPr>
          <w:trHeight w:val="300"/>
        </w:trPr>
        <w:tc>
          <w:tcPr>
            <w:tcW w:w="1149" w:type="pct"/>
            <w:tcBorders>
              <w:top w:val="nil"/>
              <w:left w:val="nil"/>
              <w:bottom w:val="nil"/>
              <w:right w:val="nil"/>
            </w:tcBorders>
            <w:shd w:val="clear" w:color="auto" w:fill="auto"/>
            <w:noWrap/>
            <w:vAlign w:val="center"/>
            <w:hideMark/>
          </w:tcPr>
          <w:p w14:paraId="2170F8D0"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openness</w:t>
            </w:r>
          </w:p>
        </w:tc>
        <w:tc>
          <w:tcPr>
            <w:tcW w:w="548" w:type="pct"/>
            <w:tcBorders>
              <w:top w:val="nil"/>
              <w:left w:val="nil"/>
              <w:bottom w:val="nil"/>
              <w:right w:val="nil"/>
            </w:tcBorders>
            <w:shd w:val="clear" w:color="auto" w:fill="auto"/>
            <w:noWrap/>
            <w:vAlign w:val="center"/>
            <w:hideMark/>
          </w:tcPr>
          <w:p w14:paraId="0606080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306F8EF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0.8476624</w:t>
            </w:r>
          </w:p>
        </w:tc>
        <w:tc>
          <w:tcPr>
            <w:tcW w:w="633" w:type="pct"/>
            <w:tcBorders>
              <w:top w:val="nil"/>
              <w:left w:val="nil"/>
              <w:bottom w:val="nil"/>
              <w:right w:val="nil"/>
            </w:tcBorders>
            <w:shd w:val="clear" w:color="auto" w:fill="auto"/>
            <w:noWrap/>
            <w:vAlign w:val="center"/>
            <w:hideMark/>
          </w:tcPr>
          <w:p w14:paraId="42CBCAE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0.4384633</w:t>
            </w:r>
          </w:p>
        </w:tc>
        <w:tc>
          <w:tcPr>
            <w:tcW w:w="662" w:type="pct"/>
            <w:tcBorders>
              <w:top w:val="nil"/>
              <w:left w:val="nil"/>
              <w:bottom w:val="nil"/>
              <w:right w:val="nil"/>
            </w:tcBorders>
            <w:shd w:val="clear" w:color="auto" w:fill="auto"/>
            <w:noWrap/>
            <w:vAlign w:val="center"/>
            <w:hideMark/>
          </w:tcPr>
          <w:p w14:paraId="1F33FCD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0.1493284</w:t>
            </w:r>
          </w:p>
        </w:tc>
        <w:tc>
          <w:tcPr>
            <w:tcW w:w="633" w:type="pct"/>
            <w:tcBorders>
              <w:top w:val="nil"/>
              <w:left w:val="nil"/>
              <w:bottom w:val="nil"/>
              <w:right w:val="nil"/>
            </w:tcBorders>
            <w:shd w:val="clear" w:color="auto" w:fill="auto"/>
            <w:noWrap/>
            <w:vAlign w:val="center"/>
            <w:hideMark/>
          </w:tcPr>
          <w:p w14:paraId="2876FCA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4.146187</w:t>
            </w:r>
          </w:p>
        </w:tc>
        <w:tc>
          <w:tcPr>
            <w:tcW w:w="742" w:type="pct"/>
            <w:tcBorders>
              <w:top w:val="nil"/>
              <w:left w:val="nil"/>
              <w:bottom w:val="nil"/>
              <w:right w:val="nil"/>
            </w:tcBorders>
            <w:shd w:val="clear" w:color="auto" w:fill="auto"/>
            <w:noWrap/>
            <w:vAlign w:val="center"/>
            <w:hideMark/>
          </w:tcPr>
          <w:p w14:paraId="77C6550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1813</w:t>
            </w:r>
          </w:p>
        </w:tc>
      </w:tr>
      <w:tr w:rsidR="009B0760" w:rsidRPr="001814FF" w14:paraId="1E19123E" w14:textId="77777777" w:rsidTr="009B0760">
        <w:trPr>
          <w:trHeight w:val="300"/>
        </w:trPr>
        <w:tc>
          <w:tcPr>
            <w:tcW w:w="1149" w:type="pct"/>
            <w:tcBorders>
              <w:top w:val="nil"/>
              <w:left w:val="nil"/>
              <w:bottom w:val="nil"/>
              <w:right w:val="nil"/>
            </w:tcBorders>
            <w:shd w:val="clear" w:color="auto" w:fill="auto"/>
            <w:noWrap/>
            <w:vAlign w:val="bottom"/>
            <w:hideMark/>
          </w:tcPr>
          <w:p w14:paraId="5D8FDCC5"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731555D1"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148A347B"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150C086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0.4242345</w:t>
            </w:r>
          </w:p>
        </w:tc>
        <w:tc>
          <w:tcPr>
            <w:tcW w:w="662" w:type="pct"/>
            <w:tcBorders>
              <w:top w:val="nil"/>
              <w:left w:val="nil"/>
              <w:bottom w:val="nil"/>
              <w:right w:val="nil"/>
            </w:tcBorders>
            <w:shd w:val="clear" w:color="auto" w:fill="auto"/>
            <w:noWrap/>
            <w:vAlign w:val="center"/>
            <w:hideMark/>
          </w:tcPr>
          <w:p w14:paraId="09AB60B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0.2315079</w:t>
            </w:r>
          </w:p>
        </w:tc>
        <w:tc>
          <w:tcPr>
            <w:tcW w:w="633" w:type="pct"/>
            <w:tcBorders>
              <w:top w:val="nil"/>
              <w:left w:val="nil"/>
              <w:bottom w:val="nil"/>
              <w:right w:val="nil"/>
            </w:tcBorders>
            <w:shd w:val="clear" w:color="auto" w:fill="auto"/>
            <w:noWrap/>
            <w:vAlign w:val="center"/>
            <w:hideMark/>
          </w:tcPr>
          <w:p w14:paraId="0EA910C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3.264811</w:t>
            </w:r>
          </w:p>
        </w:tc>
        <w:tc>
          <w:tcPr>
            <w:tcW w:w="742" w:type="pct"/>
            <w:tcBorders>
              <w:top w:val="nil"/>
              <w:left w:val="nil"/>
              <w:bottom w:val="nil"/>
              <w:right w:val="nil"/>
            </w:tcBorders>
            <w:shd w:val="clear" w:color="auto" w:fill="auto"/>
            <w:noWrap/>
            <w:vAlign w:val="center"/>
            <w:hideMark/>
          </w:tcPr>
          <w:p w14:paraId="06F5C87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128D09E0" w14:textId="77777777" w:rsidTr="009B0760">
        <w:trPr>
          <w:trHeight w:val="300"/>
        </w:trPr>
        <w:tc>
          <w:tcPr>
            <w:tcW w:w="1149" w:type="pct"/>
            <w:tcBorders>
              <w:top w:val="nil"/>
              <w:left w:val="nil"/>
              <w:bottom w:val="nil"/>
              <w:right w:val="nil"/>
            </w:tcBorders>
            <w:shd w:val="clear" w:color="auto" w:fill="auto"/>
            <w:noWrap/>
            <w:vAlign w:val="bottom"/>
            <w:hideMark/>
          </w:tcPr>
          <w:p w14:paraId="42DD9C28"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4ABC76E2"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3B299976"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45F12A2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0.1230053</w:t>
            </w:r>
          </w:p>
        </w:tc>
        <w:tc>
          <w:tcPr>
            <w:tcW w:w="662" w:type="pct"/>
            <w:tcBorders>
              <w:top w:val="nil"/>
              <w:left w:val="nil"/>
              <w:bottom w:val="nil"/>
              <w:right w:val="nil"/>
            </w:tcBorders>
            <w:shd w:val="clear" w:color="auto" w:fill="auto"/>
            <w:noWrap/>
            <w:vAlign w:val="center"/>
            <w:hideMark/>
          </w:tcPr>
          <w:p w14:paraId="4FEAA4F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0.0676905</w:t>
            </w:r>
          </w:p>
        </w:tc>
        <w:tc>
          <w:tcPr>
            <w:tcW w:w="633" w:type="pct"/>
            <w:tcBorders>
              <w:top w:val="nil"/>
              <w:left w:val="nil"/>
              <w:bottom w:val="nil"/>
              <w:right w:val="nil"/>
            </w:tcBorders>
            <w:shd w:val="clear" w:color="auto" w:fill="auto"/>
            <w:noWrap/>
            <w:vAlign w:val="center"/>
            <w:hideMark/>
          </w:tcPr>
          <w:p w14:paraId="77C72AD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1.729038</w:t>
            </w:r>
          </w:p>
        </w:tc>
        <w:tc>
          <w:tcPr>
            <w:tcW w:w="742" w:type="pct"/>
            <w:tcBorders>
              <w:top w:val="nil"/>
              <w:left w:val="nil"/>
              <w:bottom w:val="nil"/>
              <w:right w:val="nil"/>
            </w:tcBorders>
            <w:shd w:val="clear" w:color="auto" w:fill="auto"/>
            <w:noWrap/>
            <w:vAlign w:val="center"/>
            <w:hideMark/>
          </w:tcPr>
          <w:p w14:paraId="2EC339C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13.7348</w:t>
            </w:r>
          </w:p>
        </w:tc>
      </w:tr>
      <w:tr w:rsidR="009B0760" w:rsidRPr="001814FF" w14:paraId="1ADCDF4D"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47C083C8"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3F8C6C58"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092539E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742ADC6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2B576AC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53A8808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025891C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0D1D5EF6" w14:textId="77777777" w:rsidTr="009B0760">
        <w:trPr>
          <w:trHeight w:val="300"/>
        </w:trPr>
        <w:tc>
          <w:tcPr>
            <w:tcW w:w="1149" w:type="pct"/>
            <w:tcBorders>
              <w:top w:val="nil"/>
              <w:left w:val="nil"/>
              <w:bottom w:val="nil"/>
              <w:right w:val="nil"/>
            </w:tcBorders>
            <w:shd w:val="clear" w:color="auto" w:fill="auto"/>
            <w:noWrap/>
            <w:vAlign w:val="center"/>
            <w:hideMark/>
          </w:tcPr>
          <w:p w14:paraId="266F5150"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government size </w:t>
            </w:r>
          </w:p>
        </w:tc>
        <w:tc>
          <w:tcPr>
            <w:tcW w:w="548" w:type="pct"/>
            <w:tcBorders>
              <w:top w:val="nil"/>
              <w:left w:val="nil"/>
              <w:bottom w:val="nil"/>
              <w:right w:val="nil"/>
            </w:tcBorders>
            <w:shd w:val="clear" w:color="auto" w:fill="auto"/>
            <w:noWrap/>
            <w:vAlign w:val="center"/>
            <w:hideMark/>
          </w:tcPr>
          <w:p w14:paraId="178F275B"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69E597D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BB0829">
              <w:rPr>
                <w:rFonts w:ascii="Times New Roman" w:eastAsia="Times New Roman" w:hAnsi="Times New Roman" w:cs="Times New Roman"/>
                <w:color w:val="000000"/>
                <w:sz w:val="20"/>
                <w:szCs w:val="20"/>
              </w:rPr>
              <w:t>.1595538</w:t>
            </w:r>
          </w:p>
        </w:tc>
        <w:tc>
          <w:tcPr>
            <w:tcW w:w="633" w:type="pct"/>
            <w:tcBorders>
              <w:top w:val="nil"/>
              <w:left w:val="nil"/>
              <w:bottom w:val="nil"/>
              <w:right w:val="nil"/>
            </w:tcBorders>
            <w:shd w:val="clear" w:color="auto" w:fill="auto"/>
            <w:noWrap/>
            <w:vAlign w:val="center"/>
            <w:hideMark/>
          </w:tcPr>
          <w:p w14:paraId="27FFCFE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116DA">
              <w:rPr>
                <w:rFonts w:ascii="Times New Roman" w:eastAsia="Times New Roman" w:hAnsi="Times New Roman" w:cs="Times New Roman"/>
                <w:color w:val="000000"/>
                <w:sz w:val="20"/>
                <w:szCs w:val="20"/>
              </w:rPr>
              <w:t>.0612065</w:t>
            </w:r>
          </w:p>
        </w:tc>
        <w:tc>
          <w:tcPr>
            <w:tcW w:w="662" w:type="pct"/>
            <w:tcBorders>
              <w:top w:val="nil"/>
              <w:left w:val="nil"/>
              <w:bottom w:val="nil"/>
              <w:right w:val="nil"/>
            </w:tcBorders>
            <w:shd w:val="clear" w:color="auto" w:fill="auto"/>
            <w:noWrap/>
            <w:vAlign w:val="center"/>
            <w:hideMark/>
          </w:tcPr>
          <w:p w14:paraId="1BD7A9D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116DA">
              <w:rPr>
                <w:rFonts w:ascii="Times New Roman" w:eastAsia="Times New Roman" w:hAnsi="Times New Roman" w:cs="Times New Roman"/>
                <w:color w:val="000000"/>
                <w:sz w:val="20"/>
                <w:szCs w:val="20"/>
              </w:rPr>
              <w:t>.0267528</w:t>
            </w:r>
          </w:p>
        </w:tc>
        <w:tc>
          <w:tcPr>
            <w:tcW w:w="633" w:type="pct"/>
            <w:tcBorders>
              <w:top w:val="nil"/>
              <w:left w:val="nil"/>
              <w:bottom w:val="nil"/>
              <w:right w:val="nil"/>
            </w:tcBorders>
            <w:shd w:val="clear" w:color="auto" w:fill="auto"/>
            <w:noWrap/>
            <w:vAlign w:val="center"/>
            <w:hideMark/>
          </w:tcPr>
          <w:p w14:paraId="3B9C27B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116DA">
              <w:rPr>
                <w:rFonts w:ascii="Times New Roman" w:eastAsia="Times New Roman" w:hAnsi="Times New Roman" w:cs="Times New Roman"/>
                <w:color w:val="000000"/>
                <w:sz w:val="20"/>
                <w:szCs w:val="20"/>
              </w:rPr>
              <w:t>.6954283</w:t>
            </w:r>
          </w:p>
        </w:tc>
        <w:tc>
          <w:tcPr>
            <w:tcW w:w="742" w:type="pct"/>
            <w:tcBorders>
              <w:top w:val="nil"/>
              <w:left w:val="nil"/>
              <w:bottom w:val="nil"/>
              <w:right w:val="nil"/>
            </w:tcBorders>
            <w:shd w:val="clear" w:color="auto" w:fill="auto"/>
            <w:noWrap/>
            <w:vAlign w:val="center"/>
            <w:hideMark/>
          </w:tcPr>
          <w:p w14:paraId="70ABE28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1813</w:t>
            </w:r>
          </w:p>
        </w:tc>
      </w:tr>
      <w:tr w:rsidR="009B0760" w:rsidRPr="001814FF" w14:paraId="3FC8CEF4" w14:textId="77777777" w:rsidTr="009B0760">
        <w:trPr>
          <w:trHeight w:val="300"/>
        </w:trPr>
        <w:tc>
          <w:tcPr>
            <w:tcW w:w="1149" w:type="pct"/>
            <w:tcBorders>
              <w:top w:val="nil"/>
              <w:left w:val="nil"/>
              <w:bottom w:val="nil"/>
              <w:right w:val="nil"/>
            </w:tcBorders>
            <w:shd w:val="clear" w:color="auto" w:fill="auto"/>
            <w:noWrap/>
            <w:vAlign w:val="bottom"/>
            <w:hideMark/>
          </w:tcPr>
          <w:p w14:paraId="3AD0ACA7"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727C5FB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28715357"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1E96F25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116DA">
              <w:rPr>
                <w:rFonts w:ascii="Times New Roman" w:eastAsia="Times New Roman" w:hAnsi="Times New Roman" w:cs="Times New Roman"/>
                <w:color w:val="000000"/>
                <w:sz w:val="20"/>
                <w:szCs w:val="20"/>
              </w:rPr>
              <w:t>.0582259</w:t>
            </w:r>
          </w:p>
        </w:tc>
        <w:tc>
          <w:tcPr>
            <w:tcW w:w="662" w:type="pct"/>
            <w:tcBorders>
              <w:top w:val="nil"/>
              <w:left w:val="nil"/>
              <w:bottom w:val="nil"/>
              <w:right w:val="nil"/>
            </w:tcBorders>
            <w:shd w:val="clear" w:color="auto" w:fill="auto"/>
            <w:noWrap/>
            <w:vAlign w:val="center"/>
            <w:hideMark/>
          </w:tcPr>
          <w:p w14:paraId="1FDAF2B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116DA">
              <w:rPr>
                <w:rFonts w:ascii="Times New Roman" w:eastAsia="Times New Roman" w:hAnsi="Times New Roman" w:cs="Times New Roman"/>
                <w:color w:val="000000"/>
                <w:sz w:val="20"/>
                <w:szCs w:val="20"/>
              </w:rPr>
              <w:t>.0501348</w:t>
            </w:r>
          </w:p>
        </w:tc>
        <w:tc>
          <w:tcPr>
            <w:tcW w:w="633" w:type="pct"/>
            <w:tcBorders>
              <w:top w:val="nil"/>
              <w:left w:val="nil"/>
              <w:bottom w:val="nil"/>
              <w:right w:val="nil"/>
            </w:tcBorders>
            <w:shd w:val="clear" w:color="auto" w:fill="auto"/>
            <w:noWrap/>
            <w:vAlign w:val="center"/>
            <w:hideMark/>
          </w:tcPr>
          <w:p w14:paraId="2D9EB99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116DA">
              <w:rPr>
                <w:rFonts w:ascii="Times New Roman" w:eastAsia="Times New Roman" w:hAnsi="Times New Roman" w:cs="Times New Roman"/>
                <w:color w:val="000000"/>
                <w:sz w:val="20"/>
                <w:szCs w:val="20"/>
              </w:rPr>
              <w:t>.4544871</w:t>
            </w:r>
          </w:p>
        </w:tc>
        <w:tc>
          <w:tcPr>
            <w:tcW w:w="742" w:type="pct"/>
            <w:tcBorders>
              <w:top w:val="nil"/>
              <w:left w:val="nil"/>
              <w:bottom w:val="nil"/>
              <w:right w:val="nil"/>
            </w:tcBorders>
            <w:shd w:val="clear" w:color="auto" w:fill="auto"/>
            <w:noWrap/>
            <w:vAlign w:val="center"/>
            <w:hideMark/>
          </w:tcPr>
          <w:p w14:paraId="3D429E8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1087E5B9" w14:textId="77777777" w:rsidTr="009B0760">
        <w:trPr>
          <w:trHeight w:val="300"/>
        </w:trPr>
        <w:tc>
          <w:tcPr>
            <w:tcW w:w="1149" w:type="pct"/>
            <w:tcBorders>
              <w:top w:val="nil"/>
              <w:left w:val="nil"/>
              <w:bottom w:val="nil"/>
              <w:right w:val="nil"/>
            </w:tcBorders>
            <w:shd w:val="clear" w:color="auto" w:fill="auto"/>
            <w:noWrap/>
            <w:vAlign w:val="bottom"/>
            <w:hideMark/>
          </w:tcPr>
          <w:p w14:paraId="15B830AC"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562FFBA4"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09D5B586"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66A17B3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116DA">
              <w:rPr>
                <w:rFonts w:ascii="Times New Roman" w:eastAsia="Times New Roman" w:hAnsi="Times New Roman" w:cs="Times New Roman"/>
                <w:color w:val="000000"/>
                <w:sz w:val="20"/>
                <w:szCs w:val="20"/>
              </w:rPr>
              <w:t>.0215432</w:t>
            </w:r>
          </w:p>
        </w:tc>
        <w:tc>
          <w:tcPr>
            <w:tcW w:w="662" w:type="pct"/>
            <w:tcBorders>
              <w:top w:val="nil"/>
              <w:left w:val="nil"/>
              <w:bottom w:val="nil"/>
              <w:right w:val="nil"/>
            </w:tcBorders>
            <w:shd w:val="clear" w:color="auto" w:fill="auto"/>
            <w:noWrap/>
            <w:vAlign w:val="center"/>
            <w:hideMark/>
          </w:tcPr>
          <w:p w14:paraId="5C00ED4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116DA">
              <w:rPr>
                <w:rFonts w:ascii="Times New Roman" w:eastAsia="Times New Roman" w:hAnsi="Times New Roman" w:cs="Times New Roman"/>
                <w:color w:val="000000"/>
                <w:sz w:val="20"/>
                <w:szCs w:val="20"/>
              </w:rPr>
              <w:t>.0042983</w:t>
            </w:r>
          </w:p>
        </w:tc>
        <w:tc>
          <w:tcPr>
            <w:tcW w:w="633" w:type="pct"/>
            <w:tcBorders>
              <w:top w:val="nil"/>
              <w:left w:val="nil"/>
              <w:bottom w:val="nil"/>
              <w:right w:val="nil"/>
            </w:tcBorders>
            <w:shd w:val="clear" w:color="auto" w:fill="auto"/>
            <w:noWrap/>
            <w:vAlign w:val="center"/>
            <w:hideMark/>
          </w:tcPr>
          <w:p w14:paraId="2A9AD59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116DA">
              <w:rPr>
                <w:rFonts w:ascii="Times New Roman" w:eastAsia="Times New Roman" w:hAnsi="Times New Roman" w:cs="Times New Roman"/>
                <w:color w:val="000000"/>
                <w:sz w:val="20"/>
                <w:szCs w:val="20"/>
              </w:rPr>
              <w:t>.400495</w:t>
            </w:r>
          </w:p>
        </w:tc>
        <w:tc>
          <w:tcPr>
            <w:tcW w:w="742" w:type="pct"/>
            <w:tcBorders>
              <w:top w:val="nil"/>
              <w:left w:val="nil"/>
              <w:bottom w:val="nil"/>
              <w:right w:val="nil"/>
            </w:tcBorders>
            <w:shd w:val="clear" w:color="auto" w:fill="auto"/>
            <w:noWrap/>
            <w:vAlign w:val="center"/>
            <w:hideMark/>
          </w:tcPr>
          <w:p w14:paraId="1101E3A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13.7348</w:t>
            </w:r>
          </w:p>
        </w:tc>
      </w:tr>
      <w:tr w:rsidR="009B0760" w:rsidRPr="001814FF" w14:paraId="4FF03976"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4884B270"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25BE506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112021F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18C4D03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51737CC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5686D91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0E43892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3D1E117C" w14:textId="77777777" w:rsidTr="009B0760">
        <w:trPr>
          <w:trHeight w:val="300"/>
        </w:trPr>
        <w:tc>
          <w:tcPr>
            <w:tcW w:w="1149" w:type="pct"/>
            <w:tcBorders>
              <w:top w:val="nil"/>
              <w:left w:val="nil"/>
              <w:bottom w:val="nil"/>
              <w:right w:val="nil"/>
            </w:tcBorders>
            <w:shd w:val="clear" w:color="auto" w:fill="auto"/>
            <w:noWrap/>
            <w:vAlign w:val="center"/>
            <w:hideMark/>
          </w:tcPr>
          <w:p w14:paraId="4DD93D7B"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political stability</w:t>
            </w:r>
          </w:p>
        </w:tc>
        <w:tc>
          <w:tcPr>
            <w:tcW w:w="548" w:type="pct"/>
            <w:tcBorders>
              <w:top w:val="nil"/>
              <w:left w:val="nil"/>
              <w:bottom w:val="nil"/>
              <w:right w:val="nil"/>
            </w:tcBorders>
            <w:shd w:val="clear" w:color="auto" w:fill="auto"/>
            <w:noWrap/>
            <w:vAlign w:val="center"/>
            <w:hideMark/>
          </w:tcPr>
          <w:p w14:paraId="22187AD1"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202C635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0.0342752</w:t>
            </w:r>
          </w:p>
        </w:tc>
        <w:tc>
          <w:tcPr>
            <w:tcW w:w="633" w:type="pct"/>
            <w:tcBorders>
              <w:top w:val="nil"/>
              <w:left w:val="nil"/>
              <w:bottom w:val="nil"/>
              <w:right w:val="nil"/>
            </w:tcBorders>
            <w:shd w:val="clear" w:color="auto" w:fill="auto"/>
            <w:noWrap/>
            <w:vAlign w:val="center"/>
            <w:hideMark/>
          </w:tcPr>
          <w:p w14:paraId="61EAE78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0.8924227</w:t>
            </w:r>
          </w:p>
        </w:tc>
        <w:tc>
          <w:tcPr>
            <w:tcW w:w="662" w:type="pct"/>
            <w:tcBorders>
              <w:top w:val="nil"/>
              <w:left w:val="nil"/>
              <w:bottom w:val="nil"/>
              <w:right w:val="nil"/>
            </w:tcBorders>
            <w:shd w:val="clear" w:color="auto" w:fill="auto"/>
            <w:noWrap/>
            <w:vAlign w:val="center"/>
            <w:hideMark/>
          </w:tcPr>
          <w:p w14:paraId="0BC0FC5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-2.756399</w:t>
            </w:r>
          </w:p>
        </w:tc>
        <w:tc>
          <w:tcPr>
            <w:tcW w:w="633" w:type="pct"/>
            <w:tcBorders>
              <w:top w:val="nil"/>
              <w:left w:val="nil"/>
              <w:bottom w:val="nil"/>
              <w:right w:val="nil"/>
            </w:tcBorders>
            <w:shd w:val="clear" w:color="auto" w:fill="auto"/>
            <w:noWrap/>
            <w:vAlign w:val="center"/>
            <w:hideMark/>
          </w:tcPr>
          <w:p w14:paraId="059E38D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1.576872</w:t>
            </w:r>
          </w:p>
        </w:tc>
        <w:tc>
          <w:tcPr>
            <w:tcW w:w="742" w:type="pct"/>
            <w:tcBorders>
              <w:top w:val="nil"/>
              <w:left w:val="nil"/>
              <w:bottom w:val="nil"/>
              <w:right w:val="nil"/>
            </w:tcBorders>
            <w:shd w:val="clear" w:color="auto" w:fill="auto"/>
            <w:noWrap/>
            <w:vAlign w:val="center"/>
            <w:hideMark/>
          </w:tcPr>
          <w:p w14:paraId="21F7DE7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1447</w:t>
            </w:r>
          </w:p>
        </w:tc>
      </w:tr>
      <w:tr w:rsidR="009B0760" w:rsidRPr="001814FF" w14:paraId="6D1775D7" w14:textId="77777777" w:rsidTr="009B0760">
        <w:trPr>
          <w:trHeight w:val="300"/>
        </w:trPr>
        <w:tc>
          <w:tcPr>
            <w:tcW w:w="1149" w:type="pct"/>
            <w:tcBorders>
              <w:top w:val="nil"/>
              <w:left w:val="nil"/>
              <w:bottom w:val="nil"/>
              <w:right w:val="nil"/>
            </w:tcBorders>
            <w:shd w:val="clear" w:color="auto" w:fill="auto"/>
            <w:noWrap/>
            <w:vAlign w:val="bottom"/>
            <w:hideMark/>
          </w:tcPr>
          <w:p w14:paraId="459199DD"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7DC888A0"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112E5E0F"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3ADB29B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0.8445778</w:t>
            </w:r>
          </w:p>
        </w:tc>
        <w:tc>
          <w:tcPr>
            <w:tcW w:w="662" w:type="pct"/>
            <w:tcBorders>
              <w:top w:val="nil"/>
              <w:left w:val="nil"/>
              <w:bottom w:val="nil"/>
              <w:right w:val="nil"/>
            </w:tcBorders>
            <w:shd w:val="clear" w:color="auto" w:fill="auto"/>
            <w:noWrap/>
            <w:vAlign w:val="center"/>
            <w:hideMark/>
          </w:tcPr>
          <w:p w14:paraId="04DBF0C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-1.923149</w:t>
            </w:r>
          </w:p>
        </w:tc>
        <w:tc>
          <w:tcPr>
            <w:tcW w:w="633" w:type="pct"/>
            <w:tcBorders>
              <w:top w:val="nil"/>
              <w:left w:val="nil"/>
              <w:bottom w:val="nil"/>
              <w:right w:val="nil"/>
            </w:tcBorders>
            <w:shd w:val="clear" w:color="auto" w:fill="auto"/>
            <w:noWrap/>
            <w:vAlign w:val="center"/>
            <w:hideMark/>
          </w:tcPr>
          <w:p w14:paraId="04B1BF7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1.412548</w:t>
            </w:r>
          </w:p>
        </w:tc>
        <w:tc>
          <w:tcPr>
            <w:tcW w:w="742" w:type="pct"/>
            <w:tcBorders>
              <w:top w:val="nil"/>
              <w:left w:val="nil"/>
              <w:bottom w:val="nil"/>
              <w:right w:val="nil"/>
            </w:tcBorders>
            <w:shd w:val="clear" w:color="auto" w:fill="auto"/>
            <w:noWrap/>
            <w:vAlign w:val="center"/>
            <w:hideMark/>
          </w:tcPr>
          <w:p w14:paraId="320B0DA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464CC655" w14:textId="77777777" w:rsidTr="009B0760">
        <w:trPr>
          <w:trHeight w:val="300"/>
        </w:trPr>
        <w:tc>
          <w:tcPr>
            <w:tcW w:w="1149" w:type="pct"/>
            <w:tcBorders>
              <w:top w:val="nil"/>
              <w:left w:val="nil"/>
              <w:bottom w:val="nil"/>
              <w:right w:val="nil"/>
            </w:tcBorders>
            <w:shd w:val="clear" w:color="auto" w:fill="auto"/>
            <w:noWrap/>
            <w:vAlign w:val="bottom"/>
            <w:hideMark/>
          </w:tcPr>
          <w:p w14:paraId="38109F75"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70C22A23"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63D76A5D"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5A18501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0.2942668</w:t>
            </w:r>
          </w:p>
        </w:tc>
        <w:tc>
          <w:tcPr>
            <w:tcW w:w="662" w:type="pct"/>
            <w:tcBorders>
              <w:top w:val="nil"/>
              <w:left w:val="nil"/>
              <w:bottom w:val="nil"/>
              <w:right w:val="nil"/>
            </w:tcBorders>
            <w:shd w:val="clear" w:color="auto" w:fill="auto"/>
            <w:noWrap/>
            <w:vAlign w:val="center"/>
            <w:hideMark/>
          </w:tcPr>
          <w:p w14:paraId="71C6830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-1.273218</w:t>
            </w:r>
          </w:p>
        </w:tc>
        <w:tc>
          <w:tcPr>
            <w:tcW w:w="633" w:type="pct"/>
            <w:tcBorders>
              <w:top w:val="nil"/>
              <w:left w:val="nil"/>
              <w:bottom w:val="nil"/>
              <w:right w:val="nil"/>
            </w:tcBorders>
            <w:shd w:val="clear" w:color="auto" w:fill="auto"/>
            <w:noWrap/>
            <w:vAlign w:val="center"/>
            <w:hideMark/>
          </w:tcPr>
          <w:p w14:paraId="679DDEF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1.608206</w:t>
            </w:r>
          </w:p>
        </w:tc>
        <w:tc>
          <w:tcPr>
            <w:tcW w:w="742" w:type="pct"/>
            <w:tcBorders>
              <w:top w:val="nil"/>
              <w:left w:val="nil"/>
              <w:bottom w:val="nil"/>
              <w:right w:val="nil"/>
            </w:tcBorders>
            <w:shd w:val="clear" w:color="auto" w:fill="auto"/>
            <w:noWrap/>
            <w:vAlign w:val="center"/>
            <w:hideMark/>
          </w:tcPr>
          <w:p w14:paraId="2E7E81F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10.9621</w:t>
            </w:r>
          </w:p>
        </w:tc>
      </w:tr>
      <w:tr w:rsidR="009B0760" w:rsidRPr="001814FF" w14:paraId="5D723881"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0A619069"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5BEDC457"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4B92204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3FED72D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135AEE7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227BB8C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7F6B964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093E229C" w14:textId="77777777" w:rsidTr="009B0760">
        <w:trPr>
          <w:trHeight w:val="300"/>
        </w:trPr>
        <w:tc>
          <w:tcPr>
            <w:tcW w:w="1149" w:type="pct"/>
            <w:tcBorders>
              <w:top w:val="nil"/>
              <w:left w:val="nil"/>
              <w:bottom w:val="nil"/>
              <w:right w:val="nil"/>
            </w:tcBorders>
            <w:shd w:val="clear" w:color="auto" w:fill="auto"/>
            <w:noWrap/>
            <w:vAlign w:val="center"/>
            <w:hideMark/>
          </w:tcPr>
          <w:p w14:paraId="01EE849C"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regulatory quality</w:t>
            </w:r>
          </w:p>
        </w:tc>
        <w:tc>
          <w:tcPr>
            <w:tcW w:w="548" w:type="pct"/>
            <w:tcBorders>
              <w:top w:val="nil"/>
              <w:left w:val="nil"/>
              <w:bottom w:val="nil"/>
              <w:right w:val="nil"/>
            </w:tcBorders>
            <w:shd w:val="clear" w:color="auto" w:fill="auto"/>
            <w:noWrap/>
            <w:vAlign w:val="center"/>
            <w:hideMark/>
          </w:tcPr>
          <w:p w14:paraId="3661FCAF"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68279F4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0.1751986</w:t>
            </w:r>
          </w:p>
        </w:tc>
        <w:tc>
          <w:tcPr>
            <w:tcW w:w="633" w:type="pct"/>
            <w:tcBorders>
              <w:top w:val="nil"/>
              <w:left w:val="nil"/>
              <w:bottom w:val="nil"/>
              <w:right w:val="nil"/>
            </w:tcBorders>
            <w:shd w:val="clear" w:color="auto" w:fill="auto"/>
            <w:noWrap/>
            <w:vAlign w:val="center"/>
            <w:hideMark/>
          </w:tcPr>
          <w:p w14:paraId="5315CE7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0.8746884</w:t>
            </w:r>
          </w:p>
        </w:tc>
        <w:tc>
          <w:tcPr>
            <w:tcW w:w="662" w:type="pct"/>
            <w:tcBorders>
              <w:top w:val="nil"/>
              <w:left w:val="nil"/>
              <w:bottom w:val="nil"/>
              <w:right w:val="nil"/>
            </w:tcBorders>
            <w:shd w:val="clear" w:color="auto" w:fill="auto"/>
            <w:noWrap/>
            <w:vAlign w:val="center"/>
            <w:hideMark/>
          </w:tcPr>
          <w:p w14:paraId="069D9D9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-2.272891</w:t>
            </w:r>
          </w:p>
        </w:tc>
        <w:tc>
          <w:tcPr>
            <w:tcW w:w="633" w:type="pct"/>
            <w:tcBorders>
              <w:top w:val="nil"/>
              <w:left w:val="nil"/>
              <w:bottom w:val="nil"/>
              <w:right w:val="nil"/>
            </w:tcBorders>
            <w:shd w:val="clear" w:color="auto" w:fill="auto"/>
            <w:noWrap/>
            <w:vAlign w:val="center"/>
            <w:hideMark/>
          </w:tcPr>
          <w:p w14:paraId="67B484B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3.345251</w:t>
            </w:r>
          </w:p>
        </w:tc>
        <w:tc>
          <w:tcPr>
            <w:tcW w:w="742" w:type="pct"/>
            <w:tcBorders>
              <w:top w:val="nil"/>
              <w:left w:val="nil"/>
              <w:bottom w:val="nil"/>
              <w:right w:val="nil"/>
            </w:tcBorders>
            <w:shd w:val="clear" w:color="auto" w:fill="auto"/>
            <w:noWrap/>
            <w:vAlign w:val="center"/>
            <w:hideMark/>
          </w:tcPr>
          <w:p w14:paraId="135399C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1442</w:t>
            </w:r>
          </w:p>
        </w:tc>
      </w:tr>
      <w:tr w:rsidR="009B0760" w:rsidRPr="001814FF" w14:paraId="7BAF9868" w14:textId="77777777" w:rsidTr="009B0760">
        <w:trPr>
          <w:trHeight w:val="300"/>
        </w:trPr>
        <w:tc>
          <w:tcPr>
            <w:tcW w:w="1149" w:type="pct"/>
            <w:tcBorders>
              <w:top w:val="nil"/>
              <w:left w:val="nil"/>
              <w:bottom w:val="nil"/>
              <w:right w:val="nil"/>
            </w:tcBorders>
            <w:shd w:val="clear" w:color="auto" w:fill="auto"/>
            <w:noWrap/>
            <w:vAlign w:val="bottom"/>
            <w:hideMark/>
          </w:tcPr>
          <w:p w14:paraId="2FC27591"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52250CAC"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726409E2"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02DC166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0.8439908</w:t>
            </w:r>
          </w:p>
        </w:tc>
        <w:tc>
          <w:tcPr>
            <w:tcW w:w="662" w:type="pct"/>
            <w:tcBorders>
              <w:top w:val="nil"/>
              <w:left w:val="nil"/>
              <w:bottom w:val="nil"/>
              <w:right w:val="nil"/>
            </w:tcBorders>
            <w:shd w:val="clear" w:color="auto" w:fill="auto"/>
            <w:noWrap/>
            <w:vAlign w:val="center"/>
            <w:hideMark/>
          </w:tcPr>
          <w:p w14:paraId="5054CF5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-1.630469</w:t>
            </w:r>
          </w:p>
        </w:tc>
        <w:tc>
          <w:tcPr>
            <w:tcW w:w="633" w:type="pct"/>
            <w:tcBorders>
              <w:top w:val="nil"/>
              <w:left w:val="nil"/>
              <w:bottom w:val="nil"/>
              <w:right w:val="nil"/>
            </w:tcBorders>
            <w:shd w:val="clear" w:color="auto" w:fill="auto"/>
            <w:noWrap/>
            <w:vAlign w:val="center"/>
            <w:hideMark/>
          </w:tcPr>
          <w:p w14:paraId="60A295C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1.816379</w:t>
            </w:r>
          </w:p>
        </w:tc>
        <w:tc>
          <w:tcPr>
            <w:tcW w:w="742" w:type="pct"/>
            <w:tcBorders>
              <w:top w:val="nil"/>
              <w:left w:val="nil"/>
              <w:bottom w:val="nil"/>
              <w:right w:val="nil"/>
            </w:tcBorders>
            <w:shd w:val="clear" w:color="auto" w:fill="auto"/>
            <w:noWrap/>
            <w:vAlign w:val="center"/>
            <w:hideMark/>
          </w:tcPr>
          <w:p w14:paraId="58597A24"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2AE17450" w14:textId="77777777" w:rsidTr="009B0760">
        <w:trPr>
          <w:trHeight w:val="300"/>
        </w:trPr>
        <w:tc>
          <w:tcPr>
            <w:tcW w:w="1149" w:type="pct"/>
            <w:tcBorders>
              <w:top w:val="nil"/>
              <w:left w:val="nil"/>
              <w:bottom w:val="nil"/>
              <w:right w:val="nil"/>
            </w:tcBorders>
            <w:shd w:val="clear" w:color="auto" w:fill="auto"/>
            <w:noWrap/>
            <w:vAlign w:val="bottom"/>
            <w:hideMark/>
          </w:tcPr>
          <w:p w14:paraId="1A76CC1D"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5A81319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2958BC36"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4C39203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0.2450257</w:t>
            </w:r>
          </w:p>
        </w:tc>
        <w:tc>
          <w:tcPr>
            <w:tcW w:w="662" w:type="pct"/>
            <w:tcBorders>
              <w:top w:val="nil"/>
              <w:left w:val="nil"/>
              <w:bottom w:val="nil"/>
              <w:right w:val="nil"/>
            </w:tcBorders>
            <w:shd w:val="clear" w:color="auto" w:fill="auto"/>
            <w:noWrap/>
            <w:vAlign w:val="center"/>
            <w:hideMark/>
          </w:tcPr>
          <w:p w14:paraId="4696759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-1.150496</w:t>
            </w:r>
          </w:p>
        </w:tc>
        <w:tc>
          <w:tcPr>
            <w:tcW w:w="633" w:type="pct"/>
            <w:tcBorders>
              <w:top w:val="nil"/>
              <w:left w:val="nil"/>
              <w:bottom w:val="nil"/>
              <w:right w:val="nil"/>
            </w:tcBorders>
            <w:shd w:val="clear" w:color="auto" w:fill="auto"/>
            <w:noWrap/>
            <w:vAlign w:val="center"/>
            <w:hideMark/>
          </w:tcPr>
          <w:p w14:paraId="152ADD6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2.31369</w:t>
            </w:r>
          </w:p>
        </w:tc>
        <w:tc>
          <w:tcPr>
            <w:tcW w:w="742" w:type="pct"/>
            <w:tcBorders>
              <w:top w:val="nil"/>
              <w:left w:val="nil"/>
              <w:bottom w:val="nil"/>
              <w:right w:val="nil"/>
            </w:tcBorders>
            <w:shd w:val="clear" w:color="auto" w:fill="auto"/>
            <w:noWrap/>
            <w:vAlign w:val="center"/>
            <w:hideMark/>
          </w:tcPr>
          <w:p w14:paraId="287BA7C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10.9242</w:t>
            </w:r>
          </w:p>
        </w:tc>
      </w:tr>
      <w:tr w:rsidR="009B0760" w:rsidRPr="001814FF" w14:paraId="4C98B358"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2637D8D0"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47855C6F"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6237E2F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150C0DD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0A7C4D6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5DB1F66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0F47B28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0DD943D8" w14:textId="77777777" w:rsidTr="009B0760">
        <w:trPr>
          <w:trHeight w:val="300"/>
        </w:trPr>
        <w:tc>
          <w:tcPr>
            <w:tcW w:w="1149" w:type="pct"/>
            <w:tcBorders>
              <w:top w:val="nil"/>
              <w:left w:val="nil"/>
              <w:bottom w:val="nil"/>
              <w:right w:val="nil"/>
            </w:tcBorders>
            <w:shd w:val="clear" w:color="auto" w:fill="auto"/>
            <w:noWrap/>
            <w:vAlign w:val="center"/>
            <w:hideMark/>
          </w:tcPr>
          <w:p w14:paraId="192509B1"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corruption control </w:t>
            </w:r>
          </w:p>
        </w:tc>
        <w:tc>
          <w:tcPr>
            <w:tcW w:w="548" w:type="pct"/>
            <w:tcBorders>
              <w:top w:val="nil"/>
              <w:left w:val="nil"/>
              <w:bottom w:val="nil"/>
              <w:right w:val="nil"/>
            </w:tcBorders>
            <w:shd w:val="clear" w:color="auto" w:fill="auto"/>
            <w:noWrap/>
            <w:vAlign w:val="center"/>
            <w:hideMark/>
          </w:tcPr>
          <w:p w14:paraId="3CF19328"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1AA746C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DE6B5C">
              <w:rPr>
                <w:rFonts w:ascii="Times New Roman" w:eastAsia="Times New Roman" w:hAnsi="Times New Roman" w:cs="Times New Roman"/>
                <w:color w:val="000000"/>
                <w:sz w:val="20"/>
                <w:szCs w:val="20"/>
              </w:rPr>
              <w:t>.1054975</w:t>
            </w:r>
          </w:p>
        </w:tc>
        <w:tc>
          <w:tcPr>
            <w:tcW w:w="633" w:type="pct"/>
            <w:tcBorders>
              <w:top w:val="nil"/>
              <w:left w:val="nil"/>
              <w:bottom w:val="nil"/>
              <w:right w:val="nil"/>
            </w:tcBorders>
            <w:shd w:val="clear" w:color="auto" w:fill="auto"/>
            <w:noWrap/>
            <w:vAlign w:val="center"/>
            <w:hideMark/>
          </w:tcPr>
          <w:p w14:paraId="1E53846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DE6B5C">
              <w:rPr>
                <w:rFonts w:ascii="Times New Roman" w:eastAsia="Times New Roman" w:hAnsi="Times New Roman" w:cs="Times New Roman"/>
                <w:color w:val="000000"/>
                <w:sz w:val="20"/>
                <w:szCs w:val="20"/>
              </w:rPr>
              <w:t>.9787444</w:t>
            </w:r>
          </w:p>
        </w:tc>
        <w:tc>
          <w:tcPr>
            <w:tcW w:w="662" w:type="pct"/>
            <w:tcBorders>
              <w:top w:val="nil"/>
              <w:left w:val="nil"/>
              <w:bottom w:val="nil"/>
              <w:right w:val="nil"/>
            </w:tcBorders>
            <w:shd w:val="clear" w:color="auto" w:fill="auto"/>
            <w:noWrap/>
            <w:vAlign w:val="center"/>
            <w:hideMark/>
          </w:tcPr>
          <w:p w14:paraId="050A64A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DE6B5C">
              <w:rPr>
                <w:rFonts w:ascii="Times New Roman" w:eastAsia="Times New Roman" w:hAnsi="Times New Roman" w:cs="Times New Roman"/>
                <w:color w:val="000000"/>
                <w:sz w:val="20"/>
                <w:szCs w:val="20"/>
              </w:rPr>
              <w:t>-1.674297</w:t>
            </w:r>
          </w:p>
        </w:tc>
        <w:tc>
          <w:tcPr>
            <w:tcW w:w="633" w:type="pct"/>
            <w:tcBorders>
              <w:top w:val="nil"/>
              <w:left w:val="nil"/>
              <w:bottom w:val="nil"/>
              <w:right w:val="nil"/>
            </w:tcBorders>
            <w:shd w:val="clear" w:color="auto" w:fill="auto"/>
            <w:noWrap/>
            <w:vAlign w:val="center"/>
            <w:hideMark/>
          </w:tcPr>
          <w:p w14:paraId="7AC3B48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DE6B5C">
              <w:rPr>
                <w:rFonts w:ascii="Times New Roman" w:eastAsia="Times New Roman" w:hAnsi="Times New Roman" w:cs="Times New Roman"/>
                <w:color w:val="000000"/>
                <w:sz w:val="20"/>
                <w:szCs w:val="20"/>
              </w:rPr>
              <w:t>2.466556</w:t>
            </w:r>
          </w:p>
        </w:tc>
        <w:tc>
          <w:tcPr>
            <w:tcW w:w="742" w:type="pct"/>
            <w:tcBorders>
              <w:top w:val="nil"/>
              <w:left w:val="nil"/>
              <w:bottom w:val="nil"/>
              <w:right w:val="nil"/>
            </w:tcBorders>
            <w:shd w:val="clear" w:color="auto" w:fill="auto"/>
            <w:noWrap/>
            <w:vAlign w:val="center"/>
            <w:hideMark/>
          </w:tcPr>
          <w:p w14:paraId="40F18DC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14</w:t>
            </w:r>
            <w:r>
              <w:rPr>
                <w:rFonts w:ascii="Times New Roman" w:eastAsia="Times New Roman" w:hAnsi="Times New Roman" w:cs="Times New Roman"/>
                <w:color w:val="000000"/>
                <w:sz w:val="20"/>
                <w:szCs w:val="20"/>
              </w:rPr>
              <w:t>32</w:t>
            </w:r>
          </w:p>
        </w:tc>
      </w:tr>
      <w:tr w:rsidR="009B0760" w:rsidRPr="001814FF" w14:paraId="36482F43" w14:textId="77777777" w:rsidTr="009B0760">
        <w:trPr>
          <w:trHeight w:val="300"/>
        </w:trPr>
        <w:tc>
          <w:tcPr>
            <w:tcW w:w="1149" w:type="pct"/>
            <w:tcBorders>
              <w:top w:val="nil"/>
              <w:left w:val="nil"/>
              <w:bottom w:val="nil"/>
              <w:right w:val="nil"/>
            </w:tcBorders>
            <w:shd w:val="clear" w:color="auto" w:fill="auto"/>
            <w:noWrap/>
            <w:vAlign w:val="bottom"/>
            <w:hideMark/>
          </w:tcPr>
          <w:p w14:paraId="630C778E"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7053645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4A3E4590"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51FF6FD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DE6B5C">
              <w:rPr>
                <w:rFonts w:ascii="Times New Roman" w:eastAsia="Times New Roman" w:hAnsi="Times New Roman" w:cs="Times New Roman"/>
                <w:color w:val="000000"/>
                <w:sz w:val="20"/>
                <w:szCs w:val="20"/>
              </w:rPr>
              <w:t>.9523878</w:t>
            </w:r>
          </w:p>
        </w:tc>
        <w:tc>
          <w:tcPr>
            <w:tcW w:w="662" w:type="pct"/>
            <w:tcBorders>
              <w:top w:val="nil"/>
              <w:left w:val="nil"/>
              <w:bottom w:val="nil"/>
              <w:right w:val="nil"/>
            </w:tcBorders>
            <w:shd w:val="clear" w:color="auto" w:fill="auto"/>
            <w:noWrap/>
            <w:vAlign w:val="center"/>
            <w:hideMark/>
          </w:tcPr>
          <w:p w14:paraId="4F73673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DE6B5C">
              <w:rPr>
                <w:rFonts w:ascii="Times New Roman" w:eastAsia="Times New Roman" w:hAnsi="Times New Roman" w:cs="Times New Roman"/>
                <w:color w:val="000000"/>
                <w:sz w:val="20"/>
                <w:szCs w:val="20"/>
              </w:rPr>
              <w:t>-1.216346</w:t>
            </w:r>
          </w:p>
        </w:tc>
        <w:tc>
          <w:tcPr>
            <w:tcW w:w="633" w:type="pct"/>
            <w:tcBorders>
              <w:top w:val="nil"/>
              <w:left w:val="nil"/>
              <w:bottom w:val="nil"/>
              <w:right w:val="nil"/>
            </w:tcBorders>
            <w:shd w:val="clear" w:color="auto" w:fill="auto"/>
            <w:noWrap/>
            <w:vAlign w:val="center"/>
            <w:hideMark/>
          </w:tcPr>
          <w:p w14:paraId="194BCBC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DE6B5C">
              <w:rPr>
                <w:rFonts w:ascii="Times New Roman" w:eastAsia="Times New Roman" w:hAnsi="Times New Roman" w:cs="Times New Roman"/>
                <w:color w:val="000000"/>
                <w:sz w:val="20"/>
                <w:szCs w:val="20"/>
              </w:rPr>
              <w:t>2.327177</w:t>
            </w:r>
          </w:p>
        </w:tc>
        <w:tc>
          <w:tcPr>
            <w:tcW w:w="742" w:type="pct"/>
            <w:tcBorders>
              <w:top w:val="nil"/>
              <w:left w:val="nil"/>
              <w:bottom w:val="nil"/>
              <w:right w:val="nil"/>
            </w:tcBorders>
            <w:shd w:val="clear" w:color="auto" w:fill="auto"/>
            <w:noWrap/>
            <w:vAlign w:val="center"/>
            <w:hideMark/>
          </w:tcPr>
          <w:p w14:paraId="0BD6460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5D223D27" w14:textId="77777777" w:rsidTr="009B0760">
        <w:trPr>
          <w:trHeight w:val="300"/>
        </w:trPr>
        <w:tc>
          <w:tcPr>
            <w:tcW w:w="1149" w:type="pct"/>
            <w:tcBorders>
              <w:top w:val="nil"/>
              <w:left w:val="nil"/>
              <w:bottom w:val="nil"/>
              <w:right w:val="nil"/>
            </w:tcBorders>
            <w:shd w:val="clear" w:color="auto" w:fill="auto"/>
            <w:noWrap/>
            <w:vAlign w:val="bottom"/>
            <w:hideMark/>
          </w:tcPr>
          <w:p w14:paraId="0A49FF33"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53D0038B"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6E24D84A"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168A853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DE6B5C">
              <w:rPr>
                <w:rFonts w:ascii="Times New Roman" w:eastAsia="Times New Roman" w:hAnsi="Times New Roman" w:cs="Times New Roman"/>
                <w:color w:val="000000"/>
                <w:sz w:val="20"/>
                <w:szCs w:val="20"/>
              </w:rPr>
              <w:t>.2253616</w:t>
            </w:r>
          </w:p>
        </w:tc>
        <w:tc>
          <w:tcPr>
            <w:tcW w:w="662" w:type="pct"/>
            <w:tcBorders>
              <w:top w:val="nil"/>
              <w:left w:val="nil"/>
              <w:bottom w:val="nil"/>
              <w:right w:val="nil"/>
            </w:tcBorders>
            <w:shd w:val="clear" w:color="auto" w:fill="auto"/>
            <w:noWrap/>
            <w:vAlign w:val="center"/>
            <w:hideMark/>
          </w:tcPr>
          <w:p w14:paraId="5B24A1C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DE6B5C">
              <w:rPr>
                <w:rFonts w:ascii="Times New Roman" w:eastAsia="Times New Roman" w:hAnsi="Times New Roman" w:cs="Times New Roman"/>
                <w:color w:val="000000"/>
                <w:sz w:val="20"/>
                <w:szCs w:val="20"/>
              </w:rPr>
              <w:t>-1.063686</w:t>
            </w:r>
          </w:p>
        </w:tc>
        <w:tc>
          <w:tcPr>
            <w:tcW w:w="633" w:type="pct"/>
            <w:tcBorders>
              <w:top w:val="nil"/>
              <w:left w:val="nil"/>
              <w:bottom w:val="nil"/>
              <w:right w:val="nil"/>
            </w:tcBorders>
            <w:shd w:val="clear" w:color="auto" w:fill="auto"/>
            <w:noWrap/>
            <w:vAlign w:val="center"/>
            <w:hideMark/>
          </w:tcPr>
          <w:p w14:paraId="27606974"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DE6B5C">
              <w:rPr>
                <w:rFonts w:ascii="Times New Roman" w:eastAsia="Times New Roman" w:hAnsi="Times New Roman" w:cs="Times New Roman"/>
                <w:color w:val="000000"/>
                <w:sz w:val="20"/>
                <w:szCs w:val="20"/>
              </w:rPr>
              <w:t>1.485673</w:t>
            </w:r>
          </w:p>
        </w:tc>
        <w:tc>
          <w:tcPr>
            <w:tcW w:w="742" w:type="pct"/>
            <w:tcBorders>
              <w:top w:val="nil"/>
              <w:left w:val="nil"/>
              <w:bottom w:val="nil"/>
              <w:right w:val="nil"/>
            </w:tcBorders>
            <w:shd w:val="clear" w:color="auto" w:fill="auto"/>
            <w:noWrap/>
            <w:vAlign w:val="center"/>
            <w:hideMark/>
          </w:tcPr>
          <w:p w14:paraId="38BA462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10.</w:t>
            </w:r>
            <w:r>
              <w:rPr>
                <w:rFonts w:ascii="Times New Roman" w:eastAsia="Times New Roman" w:hAnsi="Times New Roman" w:cs="Times New Roman"/>
                <w:color w:val="000000"/>
                <w:sz w:val="20"/>
                <w:szCs w:val="20"/>
              </w:rPr>
              <w:t>8485</w:t>
            </w:r>
          </w:p>
        </w:tc>
      </w:tr>
      <w:tr w:rsidR="009B0760" w:rsidRPr="001814FF" w14:paraId="2F6384C8"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0590EC18"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23BE0FE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4D754A84"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27B880D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6C34B97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3DBBC486"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676F2EC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27C7FCF5" w14:textId="77777777" w:rsidTr="009B0760">
        <w:trPr>
          <w:trHeight w:val="300"/>
        </w:trPr>
        <w:tc>
          <w:tcPr>
            <w:tcW w:w="1149" w:type="pct"/>
            <w:tcBorders>
              <w:top w:val="nil"/>
              <w:left w:val="nil"/>
              <w:bottom w:val="nil"/>
              <w:right w:val="nil"/>
            </w:tcBorders>
            <w:shd w:val="clear" w:color="auto" w:fill="auto"/>
            <w:noWrap/>
            <w:vAlign w:val="center"/>
            <w:hideMark/>
          </w:tcPr>
          <w:p w14:paraId="17E9AE5F"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govt</w:t>
            </w:r>
            <w:proofErr w:type="spellEnd"/>
            <w:r>
              <w:rPr>
                <w:rFonts w:ascii="Times New Roman" w:eastAsia="Times New Roman" w:hAnsi="Times New Roman" w:cs="Times New Roman"/>
                <w:color w:val="000000"/>
                <w:sz w:val="20"/>
                <w:szCs w:val="20"/>
              </w:rPr>
              <w:t xml:space="preserve"> effectiveness  </w:t>
            </w:r>
          </w:p>
        </w:tc>
        <w:tc>
          <w:tcPr>
            <w:tcW w:w="548" w:type="pct"/>
            <w:tcBorders>
              <w:top w:val="nil"/>
              <w:left w:val="nil"/>
              <w:bottom w:val="nil"/>
              <w:right w:val="nil"/>
            </w:tcBorders>
            <w:shd w:val="clear" w:color="auto" w:fill="auto"/>
            <w:noWrap/>
            <w:vAlign w:val="center"/>
            <w:hideMark/>
          </w:tcPr>
          <w:p w14:paraId="7AD33173"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131CF8C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DE6B5C">
              <w:rPr>
                <w:rFonts w:ascii="Times New Roman" w:eastAsia="Times New Roman" w:hAnsi="Times New Roman" w:cs="Times New Roman"/>
                <w:color w:val="000000"/>
                <w:sz w:val="20"/>
                <w:szCs w:val="20"/>
              </w:rPr>
              <w:t>.1402996</w:t>
            </w:r>
          </w:p>
        </w:tc>
        <w:tc>
          <w:tcPr>
            <w:tcW w:w="633" w:type="pct"/>
            <w:tcBorders>
              <w:top w:val="nil"/>
              <w:left w:val="nil"/>
              <w:bottom w:val="nil"/>
              <w:right w:val="nil"/>
            </w:tcBorders>
            <w:shd w:val="clear" w:color="auto" w:fill="auto"/>
            <w:noWrap/>
            <w:vAlign w:val="center"/>
            <w:hideMark/>
          </w:tcPr>
          <w:p w14:paraId="598172D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DE6B5C">
              <w:rPr>
                <w:rFonts w:ascii="Times New Roman" w:eastAsia="Times New Roman" w:hAnsi="Times New Roman" w:cs="Times New Roman"/>
                <w:color w:val="000000"/>
                <w:sz w:val="20"/>
                <w:szCs w:val="20"/>
              </w:rPr>
              <w:t>.9489774</w:t>
            </w:r>
          </w:p>
        </w:tc>
        <w:tc>
          <w:tcPr>
            <w:tcW w:w="662" w:type="pct"/>
            <w:tcBorders>
              <w:top w:val="nil"/>
              <w:left w:val="nil"/>
              <w:bottom w:val="nil"/>
              <w:right w:val="nil"/>
            </w:tcBorders>
            <w:shd w:val="clear" w:color="auto" w:fill="auto"/>
            <w:noWrap/>
            <w:vAlign w:val="center"/>
            <w:hideMark/>
          </w:tcPr>
          <w:p w14:paraId="5620706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DE6B5C">
              <w:rPr>
                <w:rFonts w:ascii="Times New Roman" w:eastAsia="Times New Roman" w:hAnsi="Times New Roman" w:cs="Times New Roman"/>
                <w:color w:val="000000"/>
                <w:sz w:val="20"/>
                <w:szCs w:val="20"/>
              </w:rPr>
              <w:t>-1.819337</w:t>
            </w:r>
          </w:p>
        </w:tc>
        <w:tc>
          <w:tcPr>
            <w:tcW w:w="633" w:type="pct"/>
            <w:tcBorders>
              <w:top w:val="nil"/>
              <w:left w:val="nil"/>
              <w:bottom w:val="nil"/>
              <w:right w:val="nil"/>
            </w:tcBorders>
            <w:shd w:val="clear" w:color="auto" w:fill="auto"/>
            <w:noWrap/>
            <w:vAlign w:val="center"/>
            <w:hideMark/>
          </w:tcPr>
          <w:p w14:paraId="35863E9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0F0E8A">
              <w:rPr>
                <w:rFonts w:ascii="Times New Roman" w:eastAsia="Times New Roman" w:hAnsi="Times New Roman" w:cs="Times New Roman"/>
                <w:color w:val="000000"/>
                <w:sz w:val="20"/>
                <w:szCs w:val="20"/>
              </w:rPr>
              <w:t>2.236914</w:t>
            </w:r>
          </w:p>
        </w:tc>
        <w:tc>
          <w:tcPr>
            <w:tcW w:w="742" w:type="pct"/>
            <w:tcBorders>
              <w:top w:val="nil"/>
              <w:left w:val="nil"/>
              <w:bottom w:val="nil"/>
              <w:right w:val="nil"/>
            </w:tcBorders>
            <w:shd w:val="clear" w:color="auto" w:fill="auto"/>
            <w:noWrap/>
            <w:vAlign w:val="center"/>
            <w:hideMark/>
          </w:tcPr>
          <w:p w14:paraId="7A1C391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14</w:t>
            </w:r>
            <w:r>
              <w:rPr>
                <w:rFonts w:ascii="Times New Roman" w:eastAsia="Times New Roman" w:hAnsi="Times New Roman" w:cs="Times New Roman"/>
                <w:color w:val="000000"/>
                <w:sz w:val="20"/>
                <w:szCs w:val="20"/>
              </w:rPr>
              <w:t>3</w:t>
            </w:r>
            <w:r w:rsidRPr="001814FF">
              <w:rPr>
                <w:rFonts w:ascii="Times New Roman" w:eastAsia="Times New Roman" w:hAnsi="Times New Roman" w:cs="Times New Roman"/>
                <w:color w:val="000000"/>
                <w:sz w:val="20"/>
                <w:szCs w:val="20"/>
              </w:rPr>
              <w:t>2</w:t>
            </w:r>
          </w:p>
        </w:tc>
      </w:tr>
      <w:tr w:rsidR="009B0760" w:rsidRPr="001814FF" w14:paraId="61EE7A92" w14:textId="77777777" w:rsidTr="009B0760">
        <w:trPr>
          <w:trHeight w:val="300"/>
        </w:trPr>
        <w:tc>
          <w:tcPr>
            <w:tcW w:w="1149" w:type="pct"/>
            <w:tcBorders>
              <w:top w:val="nil"/>
              <w:left w:val="nil"/>
              <w:bottom w:val="nil"/>
              <w:right w:val="nil"/>
            </w:tcBorders>
            <w:shd w:val="clear" w:color="auto" w:fill="auto"/>
            <w:noWrap/>
            <w:vAlign w:val="bottom"/>
            <w:hideMark/>
          </w:tcPr>
          <w:p w14:paraId="3E3FFA60"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377517A2"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221864C4"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1CDE6E8C"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F0E8A">
              <w:rPr>
                <w:rFonts w:ascii="Times New Roman" w:eastAsia="Times New Roman" w:hAnsi="Times New Roman" w:cs="Times New Roman"/>
                <w:color w:val="000000"/>
                <w:sz w:val="20"/>
                <w:szCs w:val="20"/>
              </w:rPr>
              <w:t>.9299627</w:t>
            </w:r>
          </w:p>
        </w:tc>
        <w:tc>
          <w:tcPr>
            <w:tcW w:w="662" w:type="pct"/>
            <w:tcBorders>
              <w:top w:val="nil"/>
              <w:left w:val="nil"/>
              <w:bottom w:val="nil"/>
              <w:right w:val="nil"/>
            </w:tcBorders>
            <w:shd w:val="clear" w:color="auto" w:fill="auto"/>
            <w:noWrap/>
            <w:vAlign w:val="center"/>
            <w:hideMark/>
          </w:tcPr>
          <w:p w14:paraId="1C43C54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0F0E8A">
              <w:rPr>
                <w:rFonts w:ascii="Times New Roman" w:eastAsia="Times New Roman" w:hAnsi="Times New Roman" w:cs="Times New Roman"/>
                <w:color w:val="000000"/>
                <w:sz w:val="20"/>
                <w:szCs w:val="20"/>
              </w:rPr>
              <w:t>-1.547977</w:t>
            </w:r>
          </w:p>
        </w:tc>
        <w:tc>
          <w:tcPr>
            <w:tcW w:w="633" w:type="pct"/>
            <w:tcBorders>
              <w:top w:val="nil"/>
              <w:left w:val="nil"/>
              <w:bottom w:val="nil"/>
              <w:right w:val="nil"/>
            </w:tcBorders>
            <w:shd w:val="clear" w:color="auto" w:fill="auto"/>
            <w:noWrap/>
            <w:vAlign w:val="center"/>
            <w:hideMark/>
          </w:tcPr>
          <w:p w14:paraId="6EF51002"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0F0E8A">
              <w:rPr>
                <w:rFonts w:ascii="Times New Roman" w:eastAsia="Times New Roman" w:hAnsi="Times New Roman" w:cs="Times New Roman"/>
                <w:color w:val="000000"/>
                <w:sz w:val="20"/>
                <w:szCs w:val="20"/>
              </w:rPr>
              <w:t>2.094359</w:t>
            </w:r>
          </w:p>
        </w:tc>
        <w:tc>
          <w:tcPr>
            <w:tcW w:w="742" w:type="pct"/>
            <w:tcBorders>
              <w:top w:val="nil"/>
              <w:left w:val="nil"/>
              <w:bottom w:val="nil"/>
              <w:right w:val="nil"/>
            </w:tcBorders>
            <w:shd w:val="clear" w:color="auto" w:fill="auto"/>
            <w:noWrap/>
            <w:vAlign w:val="center"/>
            <w:hideMark/>
          </w:tcPr>
          <w:p w14:paraId="4A74124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1D2C1F0D" w14:textId="77777777" w:rsidTr="009B0760">
        <w:trPr>
          <w:trHeight w:val="300"/>
        </w:trPr>
        <w:tc>
          <w:tcPr>
            <w:tcW w:w="1149" w:type="pct"/>
            <w:tcBorders>
              <w:top w:val="nil"/>
              <w:left w:val="nil"/>
              <w:bottom w:val="nil"/>
              <w:right w:val="nil"/>
            </w:tcBorders>
            <w:shd w:val="clear" w:color="auto" w:fill="auto"/>
            <w:noWrap/>
            <w:vAlign w:val="bottom"/>
            <w:hideMark/>
          </w:tcPr>
          <w:p w14:paraId="14E11D24"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1B27A959"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5B9888CE"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05C5400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r w:rsidRPr="000F0E8A">
              <w:rPr>
                <w:rFonts w:ascii="Times New Roman" w:eastAsia="Times New Roman" w:hAnsi="Times New Roman" w:cs="Times New Roman"/>
                <w:color w:val="000000"/>
                <w:sz w:val="20"/>
                <w:szCs w:val="20"/>
              </w:rPr>
              <w:t>.2015914</w:t>
            </w:r>
          </w:p>
        </w:tc>
        <w:tc>
          <w:tcPr>
            <w:tcW w:w="662" w:type="pct"/>
            <w:tcBorders>
              <w:top w:val="nil"/>
              <w:left w:val="nil"/>
              <w:bottom w:val="nil"/>
              <w:right w:val="nil"/>
            </w:tcBorders>
            <w:shd w:val="clear" w:color="auto" w:fill="auto"/>
            <w:noWrap/>
            <w:vAlign w:val="center"/>
            <w:hideMark/>
          </w:tcPr>
          <w:p w14:paraId="7B34E875"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0F0E8A">
              <w:rPr>
                <w:rFonts w:ascii="Times New Roman" w:eastAsia="Times New Roman" w:hAnsi="Times New Roman" w:cs="Times New Roman"/>
                <w:color w:val="000000"/>
                <w:sz w:val="20"/>
                <w:szCs w:val="20"/>
              </w:rPr>
              <w:t>-1.02989</w:t>
            </w:r>
          </w:p>
        </w:tc>
        <w:tc>
          <w:tcPr>
            <w:tcW w:w="633" w:type="pct"/>
            <w:tcBorders>
              <w:top w:val="nil"/>
              <w:left w:val="nil"/>
              <w:bottom w:val="nil"/>
              <w:right w:val="nil"/>
            </w:tcBorders>
            <w:shd w:val="clear" w:color="auto" w:fill="auto"/>
            <w:noWrap/>
            <w:vAlign w:val="center"/>
            <w:hideMark/>
          </w:tcPr>
          <w:p w14:paraId="37C6D40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0F0E8A">
              <w:rPr>
                <w:rFonts w:ascii="Times New Roman" w:eastAsia="Times New Roman" w:hAnsi="Times New Roman" w:cs="Times New Roman"/>
                <w:color w:val="000000"/>
                <w:sz w:val="20"/>
                <w:szCs w:val="20"/>
              </w:rPr>
              <w:t>1.295874</w:t>
            </w:r>
          </w:p>
        </w:tc>
        <w:tc>
          <w:tcPr>
            <w:tcW w:w="742" w:type="pct"/>
            <w:tcBorders>
              <w:top w:val="nil"/>
              <w:left w:val="nil"/>
              <w:bottom w:val="nil"/>
              <w:right w:val="nil"/>
            </w:tcBorders>
            <w:shd w:val="clear" w:color="auto" w:fill="auto"/>
            <w:noWrap/>
            <w:vAlign w:val="center"/>
            <w:hideMark/>
          </w:tcPr>
          <w:p w14:paraId="61BFFBC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10.</w:t>
            </w:r>
            <w:r>
              <w:rPr>
                <w:rFonts w:ascii="Times New Roman" w:eastAsia="Times New Roman" w:hAnsi="Times New Roman" w:cs="Times New Roman"/>
                <w:color w:val="000000"/>
                <w:sz w:val="20"/>
                <w:szCs w:val="20"/>
              </w:rPr>
              <w:t>8485</w:t>
            </w:r>
          </w:p>
        </w:tc>
      </w:tr>
      <w:tr w:rsidR="009B0760" w:rsidRPr="001814FF" w14:paraId="2471D849" w14:textId="77777777" w:rsidTr="009B0760">
        <w:trPr>
          <w:trHeight w:val="315"/>
        </w:trPr>
        <w:tc>
          <w:tcPr>
            <w:tcW w:w="1149" w:type="pct"/>
            <w:tcBorders>
              <w:top w:val="nil"/>
              <w:left w:val="nil"/>
              <w:bottom w:val="single" w:sz="8" w:space="0" w:color="auto"/>
              <w:right w:val="nil"/>
            </w:tcBorders>
            <w:shd w:val="clear" w:color="auto" w:fill="auto"/>
            <w:noWrap/>
            <w:vAlign w:val="center"/>
            <w:hideMark/>
          </w:tcPr>
          <w:p w14:paraId="40AFE9F3"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single" w:sz="8" w:space="0" w:color="auto"/>
              <w:right w:val="nil"/>
            </w:tcBorders>
            <w:shd w:val="clear" w:color="auto" w:fill="auto"/>
            <w:noWrap/>
            <w:vAlign w:val="center"/>
            <w:hideMark/>
          </w:tcPr>
          <w:p w14:paraId="37AED9E8"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49EA6FD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41D0C3A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single" w:sz="8" w:space="0" w:color="auto"/>
              <w:right w:val="nil"/>
            </w:tcBorders>
            <w:shd w:val="clear" w:color="auto" w:fill="auto"/>
            <w:noWrap/>
            <w:vAlign w:val="center"/>
            <w:hideMark/>
          </w:tcPr>
          <w:p w14:paraId="00EDA00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single" w:sz="8" w:space="0" w:color="auto"/>
              <w:right w:val="nil"/>
            </w:tcBorders>
            <w:shd w:val="clear" w:color="auto" w:fill="auto"/>
            <w:noWrap/>
            <w:vAlign w:val="center"/>
            <w:hideMark/>
          </w:tcPr>
          <w:p w14:paraId="3720EA4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single" w:sz="8" w:space="0" w:color="auto"/>
              <w:right w:val="nil"/>
            </w:tcBorders>
            <w:shd w:val="clear" w:color="auto" w:fill="auto"/>
            <w:noWrap/>
            <w:vAlign w:val="center"/>
            <w:hideMark/>
          </w:tcPr>
          <w:p w14:paraId="04C8BFC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r w:rsidR="009B0760" w:rsidRPr="001814FF" w14:paraId="2A48B8BB" w14:textId="77777777" w:rsidTr="009B0760">
        <w:trPr>
          <w:trHeight w:val="300"/>
        </w:trPr>
        <w:tc>
          <w:tcPr>
            <w:tcW w:w="1149" w:type="pct"/>
            <w:tcBorders>
              <w:top w:val="nil"/>
              <w:left w:val="nil"/>
              <w:bottom w:val="nil"/>
              <w:right w:val="nil"/>
            </w:tcBorders>
            <w:shd w:val="clear" w:color="auto" w:fill="auto"/>
            <w:noWrap/>
            <w:vAlign w:val="center"/>
            <w:hideMark/>
          </w:tcPr>
          <w:p w14:paraId="3E833BB1"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w:t>
            </w:r>
            <w:r w:rsidRPr="001814FF">
              <w:rPr>
                <w:rFonts w:ascii="Times New Roman" w:eastAsia="Times New Roman" w:hAnsi="Times New Roman" w:cs="Times New Roman"/>
                <w:color w:val="000000"/>
                <w:sz w:val="20"/>
                <w:szCs w:val="20"/>
              </w:rPr>
              <w:t>ule</w:t>
            </w:r>
            <w:r>
              <w:rPr>
                <w:rFonts w:ascii="Times New Roman" w:eastAsia="Times New Roman" w:hAnsi="Times New Roman" w:cs="Times New Roman"/>
                <w:color w:val="000000"/>
                <w:sz w:val="20"/>
                <w:szCs w:val="20"/>
              </w:rPr>
              <w:t xml:space="preserve"> </w:t>
            </w:r>
            <w:r w:rsidRPr="001814FF">
              <w:rPr>
                <w:rFonts w:ascii="Times New Roman" w:eastAsia="Times New Roman" w:hAnsi="Times New Roman" w:cs="Times New Roman"/>
                <w:color w:val="000000"/>
                <w:sz w:val="20"/>
                <w:szCs w:val="20"/>
              </w:rPr>
              <w:t>of</w:t>
            </w:r>
            <w:r>
              <w:rPr>
                <w:rFonts w:ascii="Times New Roman" w:eastAsia="Times New Roman" w:hAnsi="Times New Roman" w:cs="Times New Roman"/>
                <w:color w:val="000000"/>
                <w:sz w:val="20"/>
                <w:szCs w:val="20"/>
              </w:rPr>
              <w:t xml:space="preserve"> </w:t>
            </w:r>
            <w:r w:rsidRPr="001814FF">
              <w:rPr>
                <w:rFonts w:ascii="Times New Roman" w:eastAsia="Times New Roman" w:hAnsi="Times New Roman" w:cs="Times New Roman"/>
                <w:color w:val="000000"/>
                <w:sz w:val="20"/>
                <w:szCs w:val="20"/>
              </w:rPr>
              <w:t>law</w:t>
            </w:r>
          </w:p>
        </w:tc>
        <w:tc>
          <w:tcPr>
            <w:tcW w:w="548" w:type="pct"/>
            <w:tcBorders>
              <w:top w:val="nil"/>
              <w:left w:val="nil"/>
              <w:bottom w:val="nil"/>
              <w:right w:val="nil"/>
            </w:tcBorders>
            <w:shd w:val="clear" w:color="auto" w:fill="auto"/>
            <w:noWrap/>
            <w:vAlign w:val="center"/>
            <w:hideMark/>
          </w:tcPr>
          <w:p w14:paraId="4B95C09A"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overall</w:t>
            </w:r>
          </w:p>
        </w:tc>
        <w:tc>
          <w:tcPr>
            <w:tcW w:w="633" w:type="pct"/>
            <w:tcBorders>
              <w:top w:val="nil"/>
              <w:left w:val="nil"/>
              <w:bottom w:val="nil"/>
              <w:right w:val="nil"/>
            </w:tcBorders>
            <w:shd w:val="clear" w:color="auto" w:fill="auto"/>
            <w:noWrap/>
            <w:vAlign w:val="center"/>
            <w:hideMark/>
          </w:tcPr>
          <w:p w14:paraId="4B0AC2D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0.0872166</w:t>
            </w:r>
          </w:p>
        </w:tc>
        <w:tc>
          <w:tcPr>
            <w:tcW w:w="633" w:type="pct"/>
            <w:tcBorders>
              <w:top w:val="nil"/>
              <w:left w:val="nil"/>
              <w:bottom w:val="nil"/>
              <w:right w:val="nil"/>
            </w:tcBorders>
            <w:shd w:val="clear" w:color="auto" w:fill="auto"/>
            <w:noWrap/>
            <w:vAlign w:val="center"/>
            <w:hideMark/>
          </w:tcPr>
          <w:p w14:paraId="76E1855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0.9292883</w:t>
            </w:r>
          </w:p>
        </w:tc>
        <w:tc>
          <w:tcPr>
            <w:tcW w:w="662" w:type="pct"/>
            <w:tcBorders>
              <w:top w:val="nil"/>
              <w:left w:val="nil"/>
              <w:bottom w:val="nil"/>
              <w:right w:val="nil"/>
            </w:tcBorders>
            <w:shd w:val="clear" w:color="auto" w:fill="auto"/>
            <w:noWrap/>
            <w:vAlign w:val="center"/>
            <w:hideMark/>
          </w:tcPr>
          <w:p w14:paraId="44C59FF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-1.741681</w:t>
            </w:r>
          </w:p>
        </w:tc>
        <w:tc>
          <w:tcPr>
            <w:tcW w:w="633" w:type="pct"/>
            <w:tcBorders>
              <w:top w:val="nil"/>
              <w:left w:val="nil"/>
              <w:bottom w:val="nil"/>
              <w:right w:val="nil"/>
            </w:tcBorders>
            <w:shd w:val="clear" w:color="auto" w:fill="auto"/>
            <w:noWrap/>
            <w:vAlign w:val="center"/>
            <w:hideMark/>
          </w:tcPr>
          <w:p w14:paraId="6C96B1A7"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1.964045</w:t>
            </w:r>
          </w:p>
        </w:tc>
        <w:tc>
          <w:tcPr>
            <w:tcW w:w="742" w:type="pct"/>
            <w:tcBorders>
              <w:top w:val="nil"/>
              <w:left w:val="nil"/>
              <w:bottom w:val="nil"/>
              <w:right w:val="nil"/>
            </w:tcBorders>
            <w:shd w:val="clear" w:color="auto" w:fill="auto"/>
            <w:noWrap/>
            <w:vAlign w:val="center"/>
            <w:hideMark/>
          </w:tcPr>
          <w:p w14:paraId="6C2A353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1445</w:t>
            </w:r>
          </w:p>
        </w:tc>
      </w:tr>
      <w:tr w:rsidR="009B0760" w:rsidRPr="001814FF" w14:paraId="7B0A7AA3" w14:textId="77777777" w:rsidTr="009B0760">
        <w:trPr>
          <w:trHeight w:val="300"/>
        </w:trPr>
        <w:tc>
          <w:tcPr>
            <w:tcW w:w="1149" w:type="pct"/>
            <w:tcBorders>
              <w:top w:val="nil"/>
              <w:left w:val="nil"/>
              <w:bottom w:val="nil"/>
              <w:right w:val="nil"/>
            </w:tcBorders>
            <w:shd w:val="clear" w:color="auto" w:fill="auto"/>
            <w:noWrap/>
            <w:vAlign w:val="bottom"/>
            <w:hideMark/>
          </w:tcPr>
          <w:p w14:paraId="42E39C80"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30F7A7A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between</w:t>
            </w:r>
          </w:p>
        </w:tc>
        <w:tc>
          <w:tcPr>
            <w:tcW w:w="633" w:type="pct"/>
            <w:tcBorders>
              <w:top w:val="nil"/>
              <w:left w:val="nil"/>
              <w:bottom w:val="nil"/>
              <w:right w:val="nil"/>
            </w:tcBorders>
            <w:shd w:val="clear" w:color="auto" w:fill="auto"/>
            <w:noWrap/>
            <w:vAlign w:val="bottom"/>
            <w:hideMark/>
          </w:tcPr>
          <w:p w14:paraId="27E87523"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1BE278AA"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0.9109179</w:t>
            </w:r>
          </w:p>
        </w:tc>
        <w:tc>
          <w:tcPr>
            <w:tcW w:w="662" w:type="pct"/>
            <w:tcBorders>
              <w:top w:val="nil"/>
              <w:left w:val="nil"/>
              <w:bottom w:val="nil"/>
              <w:right w:val="nil"/>
            </w:tcBorders>
            <w:shd w:val="clear" w:color="auto" w:fill="auto"/>
            <w:noWrap/>
            <w:vAlign w:val="center"/>
            <w:hideMark/>
          </w:tcPr>
          <w:p w14:paraId="5A3BC70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-1.384658</w:t>
            </w:r>
          </w:p>
        </w:tc>
        <w:tc>
          <w:tcPr>
            <w:tcW w:w="633" w:type="pct"/>
            <w:tcBorders>
              <w:top w:val="nil"/>
              <w:left w:val="nil"/>
              <w:bottom w:val="nil"/>
              <w:right w:val="nil"/>
            </w:tcBorders>
            <w:shd w:val="clear" w:color="auto" w:fill="auto"/>
            <w:noWrap/>
            <w:vAlign w:val="center"/>
            <w:hideMark/>
          </w:tcPr>
          <w:p w14:paraId="424F5D5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1.889363</w:t>
            </w:r>
          </w:p>
        </w:tc>
        <w:tc>
          <w:tcPr>
            <w:tcW w:w="742" w:type="pct"/>
            <w:tcBorders>
              <w:top w:val="nil"/>
              <w:left w:val="nil"/>
              <w:bottom w:val="nil"/>
              <w:right w:val="nil"/>
            </w:tcBorders>
            <w:shd w:val="clear" w:color="auto" w:fill="auto"/>
            <w:noWrap/>
            <w:vAlign w:val="center"/>
            <w:hideMark/>
          </w:tcPr>
          <w:p w14:paraId="79BDA25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n =     132</w:t>
            </w:r>
          </w:p>
        </w:tc>
      </w:tr>
      <w:tr w:rsidR="009B0760" w:rsidRPr="001814FF" w14:paraId="790068CA" w14:textId="77777777" w:rsidTr="009B0760">
        <w:trPr>
          <w:trHeight w:val="300"/>
        </w:trPr>
        <w:tc>
          <w:tcPr>
            <w:tcW w:w="1149" w:type="pct"/>
            <w:tcBorders>
              <w:top w:val="nil"/>
              <w:left w:val="nil"/>
              <w:bottom w:val="nil"/>
              <w:right w:val="nil"/>
            </w:tcBorders>
            <w:shd w:val="clear" w:color="auto" w:fill="auto"/>
            <w:noWrap/>
            <w:vAlign w:val="bottom"/>
            <w:hideMark/>
          </w:tcPr>
          <w:p w14:paraId="5C0FA989" w14:textId="77777777" w:rsidR="009B0760" w:rsidRPr="001814FF" w:rsidRDefault="009B0760" w:rsidP="009B0760">
            <w:pPr>
              <w:spacing w:after="0" w:line="240" w:lineRule="auto"/>
              <w:rPr>
                <w:rFonts w:ascii="Calibri" w:eastAsia="Times New Roman" w:hAnsi="Calibri" w:cs="Calibri"/>
                <w:color w:val="000000"/>
              </w:rPr>
            </w:pPr>
          </w:p>
        </w:tc>
        <w:tc>
          <w:tcPr>
            <w:tcW w:w="548" w:type="pct"/>
            <w:tcBorders>
              <w:top w:val="nil"/>
              <w:left w:val="nil"/>
              <w:bottom w:val="nil"/>
              <w:right w:val="nil"/>
            </w:tcBorders>
            <w:shd w:val="clear" w:color="auto" w:fill="auto"/>
            <w:noWrap/>
            <w:vAlign w:val="center"/>
            <w:hideMark/>
          </w:tcPr>
          <w:p w14:paraId="5FE7E361"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within</w:t>
            </w:r>
          </w:p>
        </w:tc>
        <w:tc>
          <w:tcPr>
            <w:tcW w:w="633" w:type="pct"/>
            <w:tcBorders>
              <w:top w:val="nil"/>
              <w:left w:val="nil"/>
              <w:bottom w:val="nil"/>
              <w:right w:val="nil"/>
            </w:tcBorders>
            <w:shd w:val="clear" w:color="auto" w:fill="auto"/>
            <w:noWrap/>
            <w:vAlign w:val="bottom"/>
            <w:hideMark/>
          </w:tcPr>
          <w:p w14:paraId="5E0AEEAE" w14:textId="77777777" w:rsidR="009B0760" w:rsidRPr="001814FF" w:rsidRDefault="009B0760" w:rsidP="009B0760">
            <w:pPr>
              <w:spacing w:after="0" w:line="240" w:lineRule="auto"/>
              <w:rPr>
                <w:rFonts w:ascii="Calibri" w:eastAsia="Times New Roman" w:hAnsi="Calibri" w:cs="Calibri"/>
                <w:color w:val="000000"/>
              </w:rPr>
            </w:pPr>
          </w:p>
        </w:tc>
        <w:tc>
          <w:tcPr>
            <w:tcW w:w="633" w:type="pct"/>
            <w:tcBorders>
              <w:top w:val="nil"/>
              <w:left w:val="nil"/>
              <w:bottom w:val="nil"/>
              <w:right w:val="nil"/>
            </w:tcBorders>
            <w:shd w:val="clear" w:color="auto" w:fill="auto"/>
            <w:noWrap/>
            <w:vAlign w:val="center"/>
            <w:hideMark/>
          </w:tcPr>
          <w:p w14:paraId="64737F5F"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0.1924041</w:t>
            </w:r>
          </w:p>
        </w:tc>
        <w:tc>
          <w:tcPr>
            <w:tcW w:w="662" w:type="pct"/>
            <w:tcBorders>
              <w:top w:val="nil"/>
              <w:left w:val="nil"/>
              <w:bottom w:val="nil"/>
              <w:right w:val="nil"/>
            </w:tcBorders>
            <w:shd w:val="clear" w:color="auto" w:fill="auto"/>
            <w:noWrap/>
            <w:vAlign w:val="center"/>
            <w:hideMark/>
          </w:tcPr>
          <w:p w14:paraId="3DEA4A83"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-1.404147</w:t>
            </w:r>
          </w:p>
        </w:tc>
        <w:tc>
          <w:tcPr>
            <w:tcW w:w="633" w:type="pct"/>
            <w:tcBorders>
              <w:top w:val="nil"/>
              <w:left w:val="nil"/>
              <w:bottom w:val="nil"/>
              <w:right w:val="nil"/>
            </w:tcBorders>
            <w:shd w:val="clear" w:color="auto" w:fill="auto"/>
            <w:noWrap/>
            <w:vAlign w:val="center"/>
            <w:hideMark/>
          </w:tcPr>
          <w:p w14:paraId="603945C0"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1.474483</w:t>
            </w:r>
          </w:p>
        </w:tc>
        <w:tc>
          <w:tcPr>
            <w:tcW w:w="742" w:type="pct"/>
            <w:tcBorders>
              <w:top w:val="nil"/>
              <w:left w:val="nil"/>
              <w:bottom w:val="nil"/>
              <w:right w:val="nil"/>
            </w:tcBorders>
            <w:shd w:val="clear" w:color="auto" w:fill="auto"/>
            <w:noWrap/>
            <w:vAlign w:val="center"/>
            <w:hideMark/>
          </w:tcPr>
          <w:p w14:paraId="1035BF81"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T =  10.947</w:t>
            </w:r>
          </w:p>
        </w:tc>
      </w:tr>
      <w:tr w:rsidR="009B0760" w:rsidRPr="001814FF" w14:paraId="7FC82902" w14:textId="77777777" w:rsidTr="009B0760">
        <w:trPr>
          <w:trHeight w:val="315"/>
        </w:trPr>
        <w:tc>
          <w:tcPr>
            <w:tcW w:w="1149" w:type="pct"/>
            <w:tcBorders>
              <w:top w:val="nil"/>
              <w:left w:val="nil"/>
              <w:bottom w:val="double" w:sz="6" w:space="0" w:color="auto"/>
              <w:right w:val="nil"/>
            </w:tcBorders>
            <w:shd w:val="clear" w:color="auto" w:fill="auto"/>
            <w:noWrap/>
            <w:vAlign w:val="center"/>
            <w:hideMark/>
          </w:tcPr>
          <w:p w14:paraId="1FC0FEAD"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548" w:type="pct"/>
            <w:tcBorders>
              <w:top w:val="nil"/>
              <w:left w:val="nil"/>
              <w:bottom w:val="double" w:sz="6" w:space="0" w:color="auto"/>
              <w:right w:val="nil"/>
            </w:tcBorders>
            <w:shd w:val="clear" w:color="auto" w:fill="auto"/>
            <w:noWrap/>
            <w:vAlign w:val="center"/>
            <w:hideMark/>
          </w:tcPr>
          <w:p w14:paraId="49F6FEE6" w14:textId="77777777" w:rsidR="009B0760" w:rsidRPr="001814FF" w:rsidRDefault="009B0760" w:rsidP="009B0760">
            <w:pPr>
              <w:spacing w:after="0" w:line="240" w:lineRule="auto"/>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double" w:sz="6" w:space="0" w:color="auto"/>
              <w:right w:val="nil"/>
            </w:tcBorders>
            <w:shd w:val="clear" w:color="auto" w:fill="auto"/>
            <w:noWrap/>
            <w:vAlign w:val="center"/>
            <w:hideMark/>
          </w:tcPr>
          <w:p w14:paraId="239DA568"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double" w:sz="6" w:space="0" w:color="auto"/>
              <w:right w:val="nil"/>
            </w:tcBorders>
            <w:shd w:val="clear" w:color="auto" w:fill="auto"/>
            <w:noWrap/>
            <w:vAlign w:val="center"/>
            <w:hideMark/>
          </w:tcPr>
          <w:p w14:paraId="71DF572D"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62" w:type="pct"/>
            <w:tcBorders>
              <w:top w:val="nil"/>
              <w:left w:val="nil"/>
              <w:bottom w:val="double" w:sz="6" w:space="0" w:color="auto"/>
              <w:right w:val="nil"/>
            </w:tcBorders>
            <w:shd w:val="clear" w:color="auto" w:fill="auto"/>
            <w:noWrap/>
            <w:vAlign w:val="center"/>
            <w:hideMark/>
          </w:tcPr>
          <w:p w14:paraId="202055BB"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633" w:type="pct"/>
            <w:tcBorders>
              <w:top w:val="nil"/>
              <w:left w:val="nil"/>
              <w:bottom w:val="double" w:sz="6" w:space="0" w:color="auto"/>
              <w:right w:val="nil"/>
            </w:tcBorders>
            <w:shd w:val="clear" w:color="auto" w:fill="auto"/>
            <w:noWrap/>
            <w:vAlign w:val="center"/>
            <w:hideMark/>
          </w:tcPr>
          <w:p w14:paraId="1385AE7E"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c>
          <w:tcPr>
            <w:tcW w:w="742" w:type="pct"/>
            <w:tcBorders>
              <w:top w:val="nil"/>
              <w:left w:val="nil"/>
              <w:bottom w:val="double" w:sz="6" w:space="0" w:color="auto"/>
              <w:right w:val="nil"/>
            </w:tcBorders>
            <w:shd w:val="clear" w:color="auto" w:fill="auto"/>
            <w:noWrap/>
            <w:vAlign w:val="center"/>
            <w:hideMark/>
          </w:tcPr>
          <w:p w14:paraId="0A83DD29" w14:textId="77777777" w:rsidR="009B0760" w:rsidRPr="001814FF" w:rsidRDefault="009B0760" w:rsidP="009B0760">
            <w:pPr>
              <w:spacing w:after="0" w:line="240" w:lineRule="auto"/>
              <w:jc w:val="center"/>
              <w:rPr>
                <w:rFonts w:ascii="Times New Roman" w:eastAsia="Times New Roman" w:hAnsi="Times New Roman" w:cs="Times New Roman"/>
                <w:color w:val="000000"/>
                <w:sz w:val="20"/>
                <w:szCs w:val="20"/>
              </w:rPr>
            </w:pPr>
            <w:r w:rsidRPr="001814FF">
              <w:rPr>
                <w:rFonts w:ascii="Times New Roman" w:eastAsia="Times New Roman" w:hAnsi="Times New Roman" w:cs="Times New Roman"/>
                <w:color w:val="000000"/>
                <w:sz w:val="20"/>
                <w:szCs w:val="20"/>
              </w:rPr>
              <w:t> </w:t>
            </w:r>
          </w:p>
        </w:tc>
      </w:tr>
    </w:tbl>
    <w:p w14:paraId="3CDA3DFE" w14:textId="77777777" w:rsidR="009B0760" w:rsidRDefault="009B0760" w:rsidP="009B0760">
      <w:pPr>
        <w:keepNext/>
        <w:widowControl w:val="0"/>
        <w:autoSpaceDE w:val="0"/>
        <w:autoSpaceDN w:val="0"/>
        <w:adjustRightInd w:val="0"/>
        <w:spacing w:after="0" w:line="240" w:lineRule="auto"/>
        <w:rPr>
          <w:rFonts w:ascii="Times New Roman" w:eastAsiaTheme="minorEastAsia" w:hAnsi="Times New Roman" w:cs="Times New Roman"/>
          <w:sz w:val="16"/>
          <w:szCs w:val="16"/>
        </w:rPr>
      </w:pPr>
    </w:p>
    <w:p w14:paraId="2DB7C318" w14:textId="77777777" w:rsidR="009B0760" w:rsidRDefault="009B0760" w:rsidP="00510FBA">
      <w:pPr>
        <w:spacing w:after="120" w:line="360" w:lineRule="auto"/>
        <w:ind w:left="-576" w:firstLine="144"/>
        <w:jc w:val="both"/>
        <w:rPr>
          <w:rFonts w:ascii="Times New Roman" w:hAnsi="Times New Roman" w:cs="Times New Roman"/>
          <w:sz w:val="24"/>
          <w:szCs w:val="24"/>
        </w:rPr>
      </w:pPr>
    </w:p>
    <w:p w14:paraId="5DC9D8B1" w14:textId="36D68AA0" w:rsidR="007F79F8" w:rsidRPr="005F6110" w:rsidRDefault="00044841" w:rsidP="00387E7E">
      <w:pPr>
        <w:pStyle w:val="ListParagraph"/>
        <w:numPr>
          <w:ilvl w:val="0"/>
          <w:numId w:val="9"/>
        </w:numPr>
        <w:spacing w:after="120" w:line="240" w:lineRule="auto"/>
        <w:jc w:val="both"/>
        <w:rPr>
          <w:rFonts w:ascii="Times New Roman" w:hAnsi="Times New Roman" w:cs="Times New Roman"/>
          <w:b/>
          <w:sz w:val="20"/>
          <w:szCs w:val="20"/>
        </w:rPr>
      </w:pPr>
      <w:r w:rsidRPr="005F6110">
        <w:rPr>
          <w:rFonts w:ascii="Times New Roman" w:hAnsi="Times New Roman" w:cs="Times New Roman"/>
          <w:b/>
          <w:sz w:val="20"/>
          <w:szCs w:val="20"/>
        </w:rPr>
        <w:t>E</w:t>
      </w:r>
      <w:r w:rsidR="00387E7E" w:rsidRPr="005F6110">
        <w:rPr>
          <w:rFonts w:ascii="Times New Roman" w:hAnsi="Times New Roman" w:cs="Times New Roman"/>
          <w:b/>
          <w:sz w:val="20"/>
          <w:szCs w:val="20"/>
        </w:rPr>
        <w:t>stimation</w:t>
      </w:r>
      <w:r w:rsidRPr="005F6110">
        <w:rPr>
          <w:rFonts w:ascii="Times New Roman" w:hAnsi="Times New Roman" w:cs="Times New Roman"/>
          <w:b/>
          <w:sz w:val="20"/>
          <w:szCs w:val="20"/>
        </w:rPr>
        <w:t xml:space="preserve"> R</w:t>
      </w:r>
      <w:r w:rsidR="00387E7E" w:rsidRPr="005F6110">
        <w:rPr>
          <w:rFonts w:ascii="Times New Roman" w:hAnsi="Times New Roman" w:cs="Times New Roman"/>
          <w:b/>
          <w:sz w:val="20"/>
          <w:szCs w:val="20"/>
        </w:rPr>
        <w:t>esults</w:t>
      </w:r>
      <w:r w:rsidRPr="005F6110">
        <w:rPr>
          <w:rFonts w:ascii="Times New Roman" w:hAnsi="Times New Roman" w:cs="Times New Roman"/>
          <w:b/>
          <w:sz w:val="20"/>
          <w:szCs w:val="20"/>
        </w:rPr>
        <w:t xml:space="preserve"> </w:t>
      </w:r>
    </w:p>
    <w:p w14:paraId="1016C738" w14:textId="0DFE9966" w:rsidR="009F00D1" w:rsidRPr="005F6110" w:rsidRDefault="00773F77" w:rsidP="005F6110">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 xml:space="preserve">Our aim here is </w:t>
      </w:r>
      <w:r w:rsidR="00534CB5" w:rsidRPr="005F6110">
        <w:rPr>
          <w:rFonts w:ascii="Times New Roman" w:hAnsi="Times New Roman" w:cs="Times New Roman"/>
          <w:sz w:val="20"/>
          <w:szCs w:val="20"/>
        </w:rPr>
        <w:t>to estimate the</w:t>
      </w:r>
      <w:r w:rsidR="00C03D64" w:rsidRPr="005F6110">
        <w:rPr>
          <w:rFonts w:ascii="Times New Roman" w:hAnsi="Times New Roman" w:cs="Times New Roman"/>
          <w:sz w:val="20"/>
          <w:szCs w:val="20"/>
        </w:rPr>
        <w:t xml:space="preserve"> effect of </w:t>
      </w:r>
      <w:r w:rsidR="00BE7A96" w:rsidRPr="005F6110">
        <w:rPr>
          <w:rFonts w:ascii="Times New Roman" w:hAnsi="Times New Roman" w:cs="Times New Roman"/>
          <w:sz w:val="20"/>
          <w:szCs w:val="20"/>
        </w:rPr>
        <w:t>various</w:t>
      </w:r>
      <w:r w:rsidR="00534CB5" w:rsidRPr="005F6110">
        <w:rPr>
          <w:rFonts w:ascii="Times New Roman" w:hAnsi="Times New Roman" w:cs="Times New Roman"/>
          <w:sz w:val="20"/>
          <w:szCs w:val="20"/>
        </w:rPr>
        <w:t xml:space="preserve"> </w:t>
      </w:r>
      <w:r w:rsidR="0039345C" w:rsidRPr="005F6110">
        <w:rPr>
          <w:rFonts w:ascii="Times New Roman" w:hAnsi="Times New Roman" w:cs="Times New Roman"/>
          <w:sz w:val="20"/>
          <w:szCs w:val="20"/>
        </w:rPr>
        <w:t>interest groups</w:t>
      </w:r>
      <w:r w:rsidR="00BE7A96" w:rsidRPr="005F6110">
        <w:rPr>
          <w:rFonts w:ascii="Times New Roman" w:hAnsi="Times New Roman" w:cs="Times New Roman"/>
          <w:sz w:val="20"/>
          <w:szCs w:val="20"/>
        </w:rPr>
        <w:t>’</w:t>
      </w:r>
      <w:r w:rsidR="0039345C" w:rsidRPr="005F6110">
        <w:rPr>
          <w:rFonts w:ascii="Times New Roman" w:hAnsi="Times New Roman" w:cs="Times New Roman"/>
          <w:sz w:val="20"/>
          <w:szCs w:val="20"/>
        </w:rPr>
        <w:t xml:space="preserve"> </w:t>
      </w:r>
      <w:r w:rsidR="005D7DD1" w:rsidRPr="005F6110">
        <w:rPr>
          <w:rFonts w:ascii="Times New Roman" w:hAnsi="Times New Roman" w:cs="Times New Roman"/>
          <w:sz w:val="20"/>
          <w:szCs w:val="20"/>
        </w:rPr>
        <w:t xml:space="preserve">lobbying power </w:t>
      </w:r>
      <w:r w:rsidR="00C03D64" w:rsidRPr="005F6110">
        <w:rPr>
          <w:rFonts w:ascii="Times New Roman" w:hAnsi="Times New Roman" w:cs="Times New Roman"/>
          <w:sz w:val="20"/>
          <w:szCs w:val="20"/>
        </w:rPr>
        <w:t>on public education spending work</w:t>
      </w:r>
      <w:r w:rsidR="00534CB5" w:rsidRPr="005F6110">
        <w:rPr>
          <w:rFonts w:ascii="Times New Roman" w:hAnsi="Times New Roman" w:cs="Times New Roman"/>
          <w:sz w:val="20"/>
          <w:szCs w:val="20"/>
        </w:rPr>
        <w:t>ing</w:t>
      </w:r>
      <w:r w:rsidR="00C03D64" w:rsidRPr="005F6110">
        <w:rPr>
          <w:rFonts w:ascii="Times New Roman" w:hAnsi="Times New Roman" w:cs="Times New Roman"/>
          <w:sz w:val="20"/>
          <w:szCs w:val="20"/>
        </w:rPr>
        <w:t xml:space="preserve"> through the </w:t>
      </w:r>
      <w:r w:rsidR="00534CB5" w:rsidRPr="005F6110">
        <w:rPr>
          <w:rFonts w:ascii="Times New Roman" w:hAnsi="Times New Roman" w:cs="Times New Roman"/>
          <w:sz w:val="20"/>
          <w:szCs w:val="20"/>
        </w:rPr>
        <w:t>political institutions</w:t>
      </w:r>
      <w:r w:rsidR="007F5AD8" w:rsidRPr="005F6110">
        <w:rPr>
          <w:rFonts w:ascii="Times New Roman" w:hAnsi="Times New Roman" w:cs="Times New Roman"/>
          <w:sz w:val="20"/>
          <w:szCs w:val="20"/>
        </w:rPr>
        <w:t>.</w:t>
      </w:r>
      <w:r w:rsidR="00BE7A96" w:rsidRPr="005F6110">
        <w:rPr>
          <w:rFonts w:ascii="Times New Roman" w:hAnsi="Times New Roman" w:cs="Times New Roman"/>
          <w:sz w:val="20"/>
          <w:szCs w:val="20"/>
        </w:rPr>
        <w:t xml:space="preserve"> In order t</w:t>
      </w:r>
      <w:r w:rsidR="00534CB5" w:rsidRPr="005F6110">
        <w:rPr>
          <w:rFonts w:ascii="Times New Roman" w:hAnsi="Times New Roman" w:cs="Times New Roman"/>
          <w:sz w:val="20"/>
          <w:szCs w:val="20"/>
        </w:rPr>
        <w:t>o eliminate the possible omitted variable bias</w:t>
      </w:r>
      <w:r w:rsidR="0039345C" w:rsidRPr="005F6110">
        <w:rPr>
          <w:rFonts w:ascii="Times New Roman" w:hAnsi="Times New Roman" w:cs="Times New Roman"/>
          <w:sz w:val="20"/>
          <w:szCs w:val="20"/>
        </w:rPr>
        <w:t xml:space="preserve"> and other causality problems observed in cross-country studies a two-way fixed effects (FE) model is used. C</w:t>
      </w:r>
      <w:r w:rsidR="00534CB5" w:rsidRPr="005F6110">
        <w:rPr>
          <w:rFonts w:ascii="Times New Roman" w:hAnsi="Times New Roman" w:cs="Times New Roman"/>
          <w:sz w:val="20"/>
          <w:szCs w:val="20"/>
        </w:rPr>
        <w:t xml:space="preserve">ountry and year fixed effects are controlled in a panel data estimation covering the period 1996-2009 for 132 countries. For all regressions the results of an F test indicate that there are significant country level effects, so the fixed effects panel data estimation is a </w:t>
      </w:r>
      <w:r w:rsidR="00BE7A96" w:rsidRPr="005F6110">
        <w:rPr>
          <w:rFonts w:ascii="Times New Roman" w:hAnsi="Times New Roman" w:cs="Times New Roman"/>
          <w:sz w:val="20"/>
          <w:szCs w:val="20"/>
        </w:rPr>
        <w:t>better</w:t>
      </w:r>
      <w:r w:rsidR="00534CB5" w:rsidRPr="005F6110">
        <w:rPr>
          <w:rFonts w:ascii="Times New Roman" w:hAnsi="Times New Roman" w:cs="Times New Roman"/>
          <w:sz w:val="20"/>
          <w:szCs w:val="20"/>
        </w:rPr>
        <w:t xml:space="preserve"> model specification than the pooled OLS. </w:t>
      </w:r>
      <w:r w:rsidR="0039345C" w:rsidRPr="005F6110">
        <w:rPr>
          <w:rFonts w:ascii="Times New Roman" w:hAnsi="Times New Roman" w:cs="Times New Roman"/>
          <w:sz w:val="20"/>
          <w:szCs w:val="20"/>
        </w:rPr>
        <w:t xml:space="preserve">Moreover, panel data estimation provides more data variation and less collinearity, and it better examines the dynamics of changes. </w:t>
      </w:r>
      <w:r w:rsidR="00C03D64" w:rsidRPr="005F6110">
        <w:rPr>
          <w:rFonts w:ascii="Times New Roman" w:hAnsi="Times New Roman" w:cs="Times New Roman"/>
          <w:sz w:val="20"/>
          <w:szCs w:val="20"/>
        </w:rPr>
        <w:t xml:space="preserve">The benchmark estimation is written </w:t>
      </w:r>
      <w:r w:rsidR="001D3BA5" w:rsidRPr="005F6110">
        <w:rPr>
          <w:rFonts w:ascii="Times New Roman" w:hAnsi="Times New Roman" w:cs="Times New Roman"/>
          <w:sz w:val="20"/>
          <w:szCs w:val="20"/>
        </w:rPr>
        <w:t xml:space="preserve">in equation (1) </w:t>
      </w:r>
      <w:r w:rsidR="00C03D64" w:rsidRPr="005F6110">
        <w:rPr>
          <w:rFonts w:ascii="Times New Roman" w:hAnsi="Times New Roman" w:cs="Times New Roman"/>
          <w:sz w:val="20"/>
          <w:szCs w:val="20"/>
        </w:rPr>
        <w:t>as</w:t>
      </w:r>
      <w:r w:rsidR="001D3BA5" w:rsidRPr="005F6110">
        <w:rPr>
          <w:rFonts w:ascii="Times New Roman" w:hAnsi="Times New Roman" w:cs="Times New Roman"/>
          <w:sz w:val="20"/>
          <w:szCs w:val="20"/>
        </w:rPr>
        <w:t xml:space="preserve"> the following</w:t>
      </w:r>
      <w:r w:rsidR="00C03D64" w:rsidRPr="005F6110">
        <w:rPr>
          <w:rFonts w:ascii="Times New Roman" w:hAnsi="Times New Roman" w:cs="Times New Roman"/>
          <w:sz w:val="20"/>
          <w:szCs w:val="20"/>
        </w:rPr>
        <w:t>,</w:t>
      </w:r>
      <w:r w:rsidR="00FD618E" w:rsidRPr="005F6110">
        <w:rPr>
          <w:rFonts w:ascii="Times New Roman" w:hAnsi="Times New Roman" w:cs="Times New Roman"/>
          <w:sz w:val="20"/>
          <w:szCs w:val="20"/>
        </w:rPr>
        <w:t xml:space="preserve"> </w:t>
      </w:r>
    </w:p>
    <w:p w14:paraId="24CB7E20" w14:textId="30B31BCA" w:rsidR="00C03D64" w:rsidRPr="001D3BA5" w:rsidRDefault="00E5123A" w:rsidP="00044841">
      <w:pPr>
        <w:spacing w:after="240" w:line="360" w:lineRule="auto"/>
        <w:ind w:left="-576" w:firstLine="144"/>
        <w:rPr>
          <w:rFonts w:ascii="Times New Roman" w:hAnsi="Times New Roman" w:cs="Times New Roman"/>
          <w:sz w:val="24"/>
          <w:szCs w:val="24"/>
        </w:rPr>
      </w:pPr>
      <m:oMath>
        <m:sSub>
          <m:sSubPr>
            <m:ctrlPr>
              <w:rPr>
                <w:rFonts w:ascii="Cambria Math" w:hAnsi="Cambria Math" w:cs="Times New Roman"/>
                <w:i/>
                <w:sz w:val="20"/>
                <w:szCs w:val="20"/>
              </w:rPr>
            </m:ctrlPr>
          </m:sSubPr>
          <m:e>
            <m:r>
              <w:rPr>
                <w:rFonts w:ascii="Cambria Math" w:hAnsi="Cambria Math" w:cs="Times New Roman"/>
                <w:sz w:val="20"/>
                <w:szCs w:val="20"/>
              </w:rPr>
              <m:t>public education spending</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resource rent</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manufacture</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3</m:t>
            </m:r>
          </m:sub>
        </m:sSub>
        <m:sSub>
          <m:sSubPr>
            <m:ctrlPr>
              <w:rPr>
                <w:rFonts w:ascii="Cambria Math" w:hAnsi="Cambria Math" w:cs="Times New Roman"/>
                <w:i/>
                <w:sz w:val="20"/>
                <w:szCs w:val="20"/>
              </w:rPr>
            </m:ctrlPr>
          </m:sSubPr>
          <m:e>
            <m:r>
              <w:rPr>
                <w:rFonts w:ascii="Cambria Math" w:hAnsi="Cambria Math" w:cs="Times New Roman"/>
                <w:sz w:val="20"/>
                <w:szCs w:val="20"/>
              </w:rPr>
              <m:t>agriculture</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sSub>
          <m:sSubPr>
            <m:ctrlPr>
              <w:rPr>
                <w:rFonts w:ascii="Cambria Math" w:hAnsi="Cambria Math" w:cs="Times New Roman"/>
                <w:i/>
                <w:sz w:val="20"/>
                <w:szCs w:val="20"/>
              </w:rPr>
            </m:ctrlPr>
          </m:sSubPr>
          <m:e>
            <m:r>
              <w:rPr>
                <w:rFonts w:ascii="Cambria Math" w:hAnsi="Cambria Math" w:cs="Times New Roman"/>
                <w:sz w:val="20"/>
                <w:szCs w:val="20"/>
              </w:rPr>
              <m:t>(resource rent*governance indicator)</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5</m:t>
                </m:r>
              </m:sub>
            </m:sSub>
            <m:sSub>
              <m:sSubPr>
                <m:ctrlPr>
                  <w:rPr>
                    <w:rFonts w:ascii="Cambria Math" w:hAnsi="Cambria Math" w:cs="Times New Roman"/>
                    <w:i/>
                    <w:sz w:val="20"/>
                    <w:szCs w:val="20"/>
                  </w:rPr>
                </m:ctrlPr>
              </m:sSubPr>
              <m:e>
                <m:r>
                  <w:rPr>
                    <w:rFonts w:ascii="Cambria Math" w:hAnsi="Cambria Math" w:cs="Times New Roman"/>
                    <w:sz w:val="20"/>
                    <w:szCs w:val="20"/>
                  </w:rPr>
                  <m:t>(manufacture*governance indicator)</m:t>
                </m:r>
              </m:e>
              <m:sub>
                <m:r>
                  <w:rPr>
                    <w:rFonts w:ascii="Cambria Math" w:hAnsi="Cambria Math" w:cs="Times New Roman"/>
                    <w:sz w:val="20"/>
                    <w:szCs w:val="20"/>
                  </w:rPr>
                  <m:t>it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6</m:t>
                </m:r>
              </m:sub>
            </m:sSub>
            <m:sSub>
              <m:sSubPr>
                <m:ctrlPr>
                  <w:rPr>
                    <w:rFonts w:ascii="Cambria Math" w:hAnsi="Cambria Math" w:cs="Times New Roman"/>
                    <w:i/>
                    <w:sz w:val="20"/>
                    <w:szCs w:val="20"/>
                  </w:rPr>
                </m:ctrlPr>
              </m:sSubPr>
              <m:e>
                <m:r>
                  <w:rPr>
                    <w:rFonts w:ascii="Cambria Math" w:hAnsi="Cambria Math" w:cs="Times New Roman"/>
                    <w:sz w:val="20"/>
                    <w:szCs w:val="20"/>
                  </w:rPr>
                  <m:t>(agriculture*governance indicator)</m:t>
                </m:r>
              </m:e>
              <m:sub>
                <m:r>
                  <w:rPr>
                    <w:rFonts w:ascii="Cambria Math" w:hAnsi="Cambria Math" w:cs="Times New Roman"/>
                    <w:sz w:val="20"/>
                    <w:szCs w:val="20"/>
                  </w:rPr>
                  <m:t>it</m:t>
                </m:r>
              </m:sub>
            </m:sSub>
            <m:r>
              <w:rPr>
                <w:rFonts w:ascii="Cambria Math" w:hAnsi="Cambria Math" w:cs="Times New Roman"/>
                <w:sz w:val="20"/>
                <w:szCs w:val="20"/>
              </w:rPr>
              <m:t>+β</m:t>
            </m:r>
          </m:e>
          <m:sub>
            <m:r>
              <w:rPr>
                <w:rFonts w:ascii="Cambria Math" w:hAnsi="Cambria Math" w:cs="Times New Roman"/>
                <w:sz w:val="20"/>
                <w:szCs w:val="20"/>
              </w:rPr>
              <m:t>7</m:t>
            </m:r>
          </m:sub>
        </m:sSub>
        <m:sSub>
          <m:sSubPr>
            <m:ctrlPr>
              <w:rPr>
                <w:rFonts w:ascii="Cambria Math" w:hAnsi="Cambria Math" w:cs="Times New Roman"/>
                <w:i/>
                <w:sz w:val="20"/>
                <w:szCs w:val="20"/>
              </w:rPr>
            </m:ctrlPr>
          </m:sSubPr>
          <m:e>
            <m:r>
              <w:rPr>
                <w:rFonts w:ascii="Cambria Math" w:hAnsi="Cambria Math" w:cs="Times New Roman"/>
                <w:sz w:val="20"/>
                <w:szCs w:val="20"/>
              </w:rPr>
              <m:t>governance indicator</m:t>
            </m:r>
          </m:e>
          <m:sub>
            <m:r>
              <w:rPr>
                <w:rFonts w:ascii="Cambria Math" w:hAnsi="Cambria Math" w:cs="Times New Roman"/>
                <w:sz w:val="20"/>
                <w:szCs w:val="20"/>
              </w:rPr>
              <m:t>it</m:t>
            </m:r>
          </m:sub>
        </m:sSub>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8</m:t>
            </m:r>
          </m:sub>
          <m:sup>
            <m:r>
              <w:rPr>
                <w:rFonts w:ascii="Cambria Math" w:hAnsi="Cambria Math" w:cs="Times New Roman"/>
                <w:sz w:val="20"/>
                <w:szCs w:val="20"/>
              </w:rPr>
              <m:t>'</m:t>
            </m:r>
          </m:sup>
        </m:sSubSup>
        <m:sSubSup>
          <m:sSubSupPr>
            <m:ctrlPr>
              <w:rPr>
                <w:rFonts w:ascii="Cambria Math" w:hAnsi="Cambria Math" w:cs="Times New Roman"/>
                <w:i/>
                <w:sz w:val="20"/>
                <w:szCs w:val="20"/>
              </w:rPr>
            </m:ctrlPr>
          </m:sSubSupPr>
          <m:e>
            <m:r>
              <w:rPr>
                <w:rFonts w:ascii="Cambria Math" w:hAnsi="Cambria Math" w:cs="Times New Roman"/>
                <w:sz w:val="20"/>
                <w:szCs w:val="20"/>
              </w:rPr>
              <m:t>Z</m:t>
            </m:r>
          </m:e>
          <m:sub>
            <m:r>
              <w:rPr>
                <w:rFonts w:ascii="Cambria Math" w:hAnsi="Cambria Math" w:cs="Times New Roman"/>
                <w:sz w:val="20"/>
                <w:szCs w:val="20"/>
              </w:rPr>
              <m:t>it</m:t>
            </m:r>
          </m:sub>
          <m:sup>
            <m:r>
              <w:rPr>
                <w:rFonts w:ascii="Cambria Math" w:hAnsi="Cambria Math" w:cs="Times New Roman"/>
                <w:sz w:val="20"/>
                <w:szCs w:val="20"/>
              </w:rPr>
              <m:t>'</m:t>
            </m:r>
          </m:sup>
        </m:sSubSup>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σ</m:t>
            </m:r>
          </m:e>
          <m:sub>
            <m:r>
              <w:rPr>
                <w:rFonts w:ascii="Cambria Math" w:hAnsi="Cambria Math" w:cs="Times New Roman"/>
                <w:sz w:val="20"/>
                <w:szCs w:val="20"/>
              </w:rPr>
              <m:t>i</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μ</m:t>
            </m:r>
          </m:e>
          <m:sub>
            <m:r>
              <w:rPr>
                <w:rFonts w:ascii="Cambria Math" w:hAnsi="Cambria Math" w:cs="Times New Roman"/>
                <w:sz w:val="20"/>
                <w:szCs w:val="20"/>
              </w:rPr>
              <m:t>t</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it</m:t>
            </m:r>
          </m:sub>
        </m:sSub>
      </m:oMath>
      <w:r w:rsidR="002C09B5" w:rsidRPr="001D3BA5">
        <w:rPr>
          <w:rFonts w:ascii="Times New Roman" w:hAnsi="Times New Roman" w:cs="Times New Roman"/>
          <w:sz w:val="24"/>
          <w:szCs w:val="24"/>
        </w:rPr>
        <w:t xml:space="preserve"> </w:t>
      </w:r>
      <w:r w:rsidR="005F6110">
        <w:rPr>
          <w:rFonts w:ascii="Times New Roman" w:hAnsi="Times New Roman" w:cs="Times New Roman"/>
          <w:sz w:val="24"/>
          <w:szCs w:val="24"/>
        </w:rPr>
        <w:t xml:space="preserve">             </w:t>
      </w:r>
      <w:r w:rsidR="005F6110" w:rsidRPr="005F6110">
        <w:rPr>
          <w:rFonts w:ascii="Times New Roman" w:hAnsi="Times New Roman" w:cs="Times New Roman"/>
          <w:sz w:val="20"/>
          <w:szCs w:val="20"/>
        </w:rPr>
        <w:t>(1)</w:t>
      </w:r>
      <w:r w:rsidR="0085522B" w:rsidRPr="005F6110">
        <w:rPr>
          <w:rFonts w:ascii="Times New Roman" w:hAnsi="Times New Roman" w:cs="Times New Roman"/>
          <w:sz w:val="20"/>
          <w:szCs w:val="20"/>
        </w:rPr>
        <w:t xml:space="preserve">                                                   </w:t>
      </w:r>
      <w:r w:rsidR="002C09B5" w:rsidRPr="005F6110">
        <w:rPr>
          <w:rFonts w:ascii="Times New Roman" w:hAnsi="Times New Roman" w:cs="Times New Roman"/>
          <w:sz w:val="20"/>
          <w:szCs w:val="20"/>
        </w:rPr>
        <w:t xml:space="preserve">                        </w:t>
      </w:r>
      <w:r w:rsidR="001D3BA5" w:rsidRPr="005F6110">
        <w:rPr>
          <w:rFonts w:ascii="Times New Roman" w:hAnsi="Times New Roman" w:cs="Times New Roman"/>
          <w:sz w:val="20"/>
          <w:szCs w:val="20"/>
        </w:rPr>
        <w:t xml:space="preserve"> </w:t>
      </w:r>
      <w:r w:rsidR="002C09B5" w:rsidRPr="005F6110">
        <w:rPr>
          <w:rFonts w:ascii="Times New Roman" w:hAnsi="Times New Roman" w:cs="Times New Roman"/>
          <w:sz w:val="20"/>
          <w:szCs w:val="20"/>
        </w:rPr>
        <w:t xml:space="preserve">                                                   </w:t>
      </w:r>
    </w:p>
    <w:p w14:paraId="2DB25C08" w14:textId="64284F00" w:rsidR="00760288" w:rsidRPr="005F6110" w:rsidRDefault="00FD618E" w:rsidP="00686C7B">
      <w:pPr>
        <w:spacing w:after="120" w:line="240" w:lineRule="auto"/>
        <w:ind w:left="-578"/>
        <w:jc w:val="both"/>
        <w:rPr>
          <w:rFonts w:ascii="Times New Roman" w:hAnsi="Times New Roman" w:cs="Times New Roman"/>
          <w:sz w:val="20"/>
          <w:szCs w:val="20"/>
        </w:rPr>
      </w:pPr>
      <w:proofErr w:type="gramStart"/>
      <w:r w:rsidRPr="005F6110">
        <w:rPr>
          <w:rFonts w:ascii="Times New Roman" w:hAnsi="Times New Roman" w:cs="Times New Roman"/>
          <w:sz w:val="20"/>
          <w:szCs w:val="20"/>
        </w:rPr>
        <w:t>where</w:t>
      </w:r>
      <w:proofErr w:type="gramEnd"/>
      <w:r w:rsidRPr="005F6110">
        <w:rPr>
          <w:rFonts w:ascii="Times New Roman" w:hAnsi="Times New Roman" w:cs="Times New Roman"/>
          <w:sz w:val="20"/>
          <w:szCs w:val="20"/>
        </w:rPr>
        <w:t xml:space="preserve"> </w:t>
      </w:r>
      <w:r w:rsidR="005442B4" w:rsidRPr="005F6110">
        <w:rPr>
          <w:rFonts w:ascii="Times New Roman" w:hAnsi="Times New Roman" w:cs="Times New Roman"/>
          <w:sz w:val="20"/>
          <w:szCs w:val="20"/>
        </w:rPr>
        <w:t xml:space="preserve">public education spending is the dependent variable, σ represents country fixed effects, μ captures time fixed effects, and </w:t>
      </w:r>
      <m:oMath>
        <m:sSub>
          <m:sSubPr>
            <m:ctrlPr>
              <w:rPr>
                <w:rFonts w:ascii="Cambria Math" w:hAnsi="Cambria Math" w:cs="Times New Roman"/>
                <w:i/>
                <w:sz w:val="20"/>
                <w:szCs w:val="20"/>
              </w:rPr>
            </m:ctrlPr>
          </m:sSubPr>
          <m:e>
            <m:r>
              <w:rPr>
                <w:rFonts w:ascii="Cambria Math" w:hAnsi="Cambria Math" w:cs="Times New Roman"/>
                <w:sz w:val="20"/>
                <w:szCs w:val="20"/>
              </w:rPr>
              <m:t>ε</m:t>
            </m:r>
          </m:e>
          <m:sub>
            <m:r>
              <w:rPr>
                <w:rFonts w:ascii="Cambria Math" w:hAnsi="Cambria Math" w:cs="Times New Roman"/>
                <w:sz w:val="20"/>
                <w:szCs w:val="20"/>
              </w:rPr>
              <m:t>it</m:t>
            </m:r>
          </m:sub>
        </m:sSub>
      </m:oMath>
      <w:r w:rsidR="005442B4" w:rsidRPr="005F6110">
        <w:rPr>
          <w:rFonts w:ascii="Times New Roman" w:hAnsi="Times New Roman" w:cs="Times New Roman"/>
          <w:sz w:val="20"/>
          <w:szCs w:val="20"/>
        </w:rPr>
        <w:t xml:space="preserve"> is the error term. The proxy variables, </w:t>
      </w:r>
      <w:r w:rsidR="00051AE0" w:rsidRPr="005F6110">
        <w:rPr>
          <w:rFonts w:ascii="Times New Roman" w:hAnsi="Times New Roman" w:cs="Times New Roman"/>
          <w:sz w:val="20"/>
          <w:szCs w:val="20"/>
        </w:rPr>
        <w:t xml:space="preserve">natural </w:t>
      </w:r>
      <w:r w:rsidR="005442B4" w:rsidRPr="005F6110">
        <w:rPr>
          <w:rFonts w:ascii="Times New Roman" w:hAnsi="Times New Roman" w:cs="Times New Roman"/>
          <w:sz w:val="20"/>
          <w:szCs w:val="20"/>
        </w:rPr>
        <w:t>resource</w:t>
      </w:r>
      <w:r w:rsidR="0039345C" w:rsidRPr="005F6110">
        <w:rPr>
          <w:rFonts w:ascii="Times New Roman" w:hAnsi="Times New Roman" w:cs="Times New Roman"/>
          <w:sz w:val="20"/>
          <w:szCs w:val="20"/>
        </w:rPr>
        <w:t xml:space="preserve"> </w:t>
      </w:r>
      <w:r w:rsidR="005442B4" w:rsidRPr="005F6110">
        <w:rPr>
          <w:rFonts w:ascii="Times New Roman" w:hAnsi="Times New Roman" w:cs="Times New Roman"/>
          <w:sz w:val="20"/>
          <w:szCs w:val="20"/>
        </w:rPr>
        <w:t>rent</w:t>
      </w:r>
      <w:r w:rsidR="00051AE0" w:rsidRPr="005F6110">
        <w:rPr>
          <w:rFonts w:ascii="Times New Roman" w:hAnsi="Times New Roman" w:cs="Times New Roman"/>
          <w:sz w:val="20"/>
          <w:szCs w:val="20"/>
        </w:rPr>
        <w:t>s (resource rent)</w:t>
      </w:r>
      <w:r w:rsidR="005442B4" w:rsidRPr="005F6110">
        <w:rPr>
          <w:rFonts w:ascii="Times New Roman" w:hAnsi="Times New Roman" w:cs="Times New Roman"/>
          <w:sz w:val="20"/>
          <w:szCs w:val="20"/>
        </w:rPr>
        <w:t>, manufacture export</w:t>
      </w:r>
      <w:r w:rsidR="00051AE0" w:rsidRPr="005F6110">
        <w:rPr>
          <w:rFonts w:ascii="Times New Roman" w:hAnsi="Times New Roman" w:cs="Times New Roman"/>
          <w:sz w:val="20"/>
          <w:szCs w:val="20"/>
        </w:rPr>
        <w:t>s (manufacture)</w:t>
      </w:r>
      <w:r w:rsidR="003C64F7" w:rsidRPr="005F6110">
        <w:rPr>
          <w:rFonts w:ascii="Times New Roman" w:hAnsi="Times New Roman" w:cs="Times New Roman"/>
          <w:sz w:val="20"/>
          <w:szCs w:val="20"/>
        </w:rPr>
        <w:t>, and agriculture value-</w:t>
      </w:r>
      <w:r w:rsidR="005442B4" w:rsidRPr="005F6110">
        <w:rPr>
          <w:rFonts w:ascii="Times New Roman" w:hAnsi="Times New Roman" w:cs="Times New Roman"/>
          <w:sz w:val="20"/>
          <w:szCs w:val="20"/>
        </w:rPr>
        <w:t xml:space="preserve">added </w:t>
      </w:r>
      <w:r w:rsidR="00051AE0" w:rsidRPr="005F6110">
        <w:rPr>
          <w:rFonts w:ascii="Times New Roman" w:hAnsi="Times New Roman" w:cs="Times New Roman"/>
          <w:sz w:val="20"/>
          <w:szCs w:val="20"/>
        </w:rPr>
        <w:t>(agriculture)</w:t>
      </w:r>
      <w:r w:rsidR="00146277" w:rsidRPr="005F6110">
        <w:rPr>
          <w:rFonts w:ascii="Times New Roman" w:hAnsi="Times New Roman" w:cs="Times New Roman"/>
          <w:sz w:val="20"/>
          <w:szCs w:val="20"/>
        </w:rPr>
        <w:t>,</w:t>
      </w:r>
      <w:r w:rsidR="00051AE0" w:rsidRPr="005F6110">
        <w:rPr>
          <w:rFonts w:ascii="Times New Roman" w:hAnsi="Times New Roman" w:cs="Times New Roman"/>
          <w:sz w:val="20"/>
          <w:szCs w:val="20"/>
        </w:rPr>
        <w:t xml:space="preserve"> </w:t>
      </w:r>
      <w:r w:rsidR="005442B4" w:rsidRPr="005F6110">
        <w:rPr>
          <w:rFonts w:ascii="Times New Roman" w:hAnsi="Times New Roman" w:cs="Times New Roman"/>
          <w:sz w:val="20"/>
          <w:szCs w:val="20"/>
        </w:rPr>
        <w:t xml:space="preserve">are </w:t>
      </w:r>
      <w:r w:rsidR="003C64F7" w:rsidRPr="005F6110">
        <w:rPr>
          <w:rFonts w:ascii="Times New Roman" w:hAnsi="Times New Roman" w:cs="Times New Roman"/>
          <w:sz w:val="20"/>
          <w:szCs w:val="20"/>
        </w:rPr>
        <w:t xml:space="preserve">used to </w:t>
      </w:r>
      <w:r w:rsidR="0039345C" w:rsidRPr="005F6110">
        <w:rPr>
          <w:rFonts w:ascii="Times New Roman" w:hAnsi="Times New Roman" w:cs="Times New Roman"/>
          <w:sz w:val="20"/>
          <w:szCs w:val="20"/>
        </w:rPr>
        <w:t>proxy</w:t>
      </w:r>
      <w:r w:rsidR="003C64F7" w:rsidRPr="005F6110">
        <w:rPr>
          <w:rFonts w:ascii="Times New Roman" w:hAnsi="Times New Roman" w:cs="Times New Roman"/>
          <w:sz w:val="20"/>
          <w:szCs w:val="20"/>
        </w:rPr>
        <w:t xml:space="preserve"> the </w:t>
      </w:r>
      <w:r w:rsidR="00BF38DE" w:rsidRPr="005F6110">
        <w:rPr>
          <w:rFonts w:ascii="Times New Roman" w:hAnsi="Times New Roman" w:cs="Times New Roman"/>
          <w:sz w:val="20"/>
          <w:szCs w:val="20"/>
        </w:rPr>
        <w:t xml:space="preserve">lobbying power </w:t>
      </w:r>
      <w:r w:rsidR="005442B4" w:rsidRPr="005F6110">
        <w:rPr>
          <w:rFonts w:ascii="Times New Roman" w:hAnsi="Times New Roman" w:cs="Times New Roman"/>
          <w:sz w:val="20"/>
          <w:szCs w:val="20"/>
        </w:rPr>
        <w:t>of the natural resource owners, manufacturers, and landowners</w:t>
      </w:r>
      <w:r w:rsidR="00E96D48" w:rsidRPr="005F6110">
        <w:rPr>
          <w:rFonts w:ascii="Times New Roman" w:hAnsi="Times New Roman" w:cs="Times New Roman"/>
          <w:sz w:val="20"/>
          <w:szCs w:val="20"/>
        </w:rPr>
        <w:t xml:space="preserve">, </w:t>
      </w:r>
      <w:r w:rsidR="005442B4" w:rsidRPr="005F6110">
        <w:rPr>
          <w:rFonts w:ascii="Times New Roman" w:hAnsi="Times New Roman" w:cs="Times New Roman"/>
          <w:sz w:val="20"/>
          <w:szCs w:val="20"/>
        </w:rPr>
        <w:t>respectively. Governance indicator refers to one of the</w:t>
      </w:r>
      <w:r w:rsidR="0039345C" w:rsidRPr="005F6110">
        <w:rPr>
          <w:rFonts w:ascii="Times New Roman" w:hAnsi="Times New Roman" w:cs="Times New Roman"/>
          <w:sz w:val="20"/>
          <w:szCs w:val="20"/>
        </w:rPr>
        <w:t xml:space="preserve"> five </w:t>
      </w:r>
      <w:r w:rsidR="005442B4" w:rsidRPr="005F6110">
        <w:rPr>
          <w:rFonts w:ascii="Times New Roman" w:hAnsi="Times New Roman" w:cs="Times New Roman"/>
          <w:sz w:val="20"/>
          <w:szCs w:val="20"/>
        </w:rPr>
        <w:t>institutional quality indicators discussed in the previous section. The interaction term</w:t>
      </w:r>
      <w:r w:rsidR="00E96D48" w:rsidRPr="005F6110">
        <w:rPr>
          <w:rFonts w:ascii="Times New Roman" w:hAnsi="Times New Roman" w:cs="Times New Roman"/>
          <w:sz w:val="20"/>
          <w:szCs w:val="20"/>
        </w:rPr>
        <w:t>s</w:t>
      </w:r>
      <w:r w:rsidR="005442B4" w:rsidRPr="005F6110">
        <w:rPr>
          <w:rFonts w:ascii="Times New Roman" w:hAnsi="Times New Roman" w:cs="Times New Roman"/>
          <w:sz w:val="20"/>
          <w:szCs w:val="20"/>
        </w:rPr>
        <w:t xml:space="preserve"> of the proxy</w:t>
      </w:r>
      <w:r w:rsidR="004746C9" w:rsidRPr="005F6110">
        <w:rPr>
          <w:rFonts w:ascii="Times New Roman" w:hAnsi="Times New Roman" w:cs="Times New Roman"/>
          <w:sz w:val="20"/>
          <w:szCs w:val="20"/>
        </w:rPr>
        <w:t xml:space="preserve"> variable</w:t>
      </w:r>
      <w:r w:rsidR="00E96D48" w:rsidRPr="005F6110">
        <w:rPr>
          <w:rFonts w:ascii="Times New Roman" w:hAnsi="Times New Roman" w:cs="Times New Roman"/>
          <w:sz w:val="20"/>
          <w:szCs w:val="20"/>
        </w:rPr>
        <w:t>s</w:t>
      </w:r>
      <w:r w:rsidR="004746C9" w:rsidRPr="005F6110">
        <w:rPr>
          <w:rFonts w:ascii="Times New Roman" w:hAnsi="Times New Roman" w:cs="Times New Roman"/>
          <w:sz w:val="20"/>
          <w:szCs w:val="20"/>
        </w:rPr>
        <w:t xml:space="preserve"> and the governance indicator demonstrate how</w:t>
      </w:r>
      <w:r w:rsidR="00E96D48" w:rsidRPr="005F6110">
        <w:rPr>
          <w:rFonts w:ascii="Times New Roman" w:hAnsi="Times New Roman" w:cs="Times New Roman"/>
          <w:sz w:val="20"/>
          <w:szCs w:val="20"/>
        </w:rPr>
        <w:t xml:space="preserve"> </w:t>
      </w:r>
      <w:r w:rsidR="004746C9" w:rsidRPr="005F6110">
        <w:rPr>
          <w:rFonts w:ascii="Times New Roman" w:hAnsi="Times New Roman" w:cs="Times New Roman"/>
          <w:sz w:val="20"/>
          <w:szCs w:val="20"/>
        </w:rPr>
        <w:t>the</w:t>
      </w:r>
      <w:r w:rsidR="00E96D48" w:rsidRPr="005F6110">
        <w:rPr>
          <w:rFonts w:ascii="Times New Roman" w:hAnsi="Times New Roman" w:cs="Times New Roman"/>
          <w:sz w:val="20"/>
          <w:szCs w:val="20"/>
        </w:rPr>
        <w:t xml:space="preserve"> </w:t>
      </w:r>
      <w:r w:rsidR="004746C9" w:rsidRPr="005F6110">
        <w:rPr>
          <w:rFonts w:ascii="Times New Roman" w:hAnsi="Times New Roman" w:cs="Times New Roman"/>
          <w:sz w:val="20"/>
          <w:szCs w:val="20"/>
        </w:rPr>
        <w:t>proxy variables interact with each of the</w:t>
      </w:r>
      <w:r w:rsidR="0039345C" w:rsidRPr="005F6110">
        <w:rPr>
          <w:rFonts w:ascii="Times New Roman" w:hAnsi="Times New Roman" w:cs="Times New Roman"/>
          <w:sz w:val="20"/>
          <w:szCs w:val="20"/>
        </w:rPr>
        <w:t xml:space="preserve"> </w:t>
      </w:r>
      <w:r w:rsidR="004746C9" w:rsidRPr="005F6110">
        <w:rPr>
          <w:rFonts w:ascii="Times New Roman" w:hAnsi="Times New Roman" w:cs="Times New Roman"/>
          <w:sz w:val="20"/>
          <w:szCs w:val="20"/>
        </w:rPr>
        <w:t xml:space="preserve">governance indicators. </w:t>
      </w:r>
    </w:p>
    <w:p w14:paraId="2E81608B" w14:textId="796B8FE8" w:rsidR="00873F9B" w:rsidRPr="005F6110" w:rsidRDefault="004746C9" w:rsidP="00686C7B">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In</w:t>
      </w:r>
      <w:r w:rsidR="009E3870"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equation (1), </w:t>
      </w:r>
      <m:oMath>
        <m:r>
          <w:rPr>
            <w:rFonts w:ascii="Cambria Math" w:hAnsi="Cambria Math" w:cs="Times New Roman"/>
            <w:sz w:val="20"/>
            <w:szCs w:val="20"/>
          </w:rPr>
          <m:t>Z</m:t>
        </m:r>
      </m:oMath>
      <w:r w:rsidRPr="005F6110">
        <w:rPr>
          <w:rFonts w:ascii="Times New Roman" w:hAnsi="Times New Roman" w:cs="Times New Roman"/>
          <w:sz w:val="20"/>
          <w:szCs w:val="20"/>
        </w:rPr>
        <w:t xml:space="preserve"> is a vector of explanatory variables which includes the log value of GDP per</w:t>
      </w:r>
      <w:r w:rsidR="00760288" w:rsidRPr="005F6110">
        <w:rPr>
          <w:rFonts w:ascii="Times New Roman" w:hAnsi="Times New Roman" w:cs="Times New Roman"/>
          <w:sz w:val="20"/>
          <w:szCs w:val="20"/>
        </w:rPr>
        <w:t xml:space="preserve"> </w:t>
      </w:r>
      <w:r w:rsidRPr="005F6110">
        <w:rPr>
          <w:rFonts w:ascii="Times New Roman" w:hAnsi="Times New Roman" w:cs="Times New Roman"/>
          <w:sz w:val="20"/>
          <w:szCs w:val="20"/>
        </w:rPr>
        <w:t>capita, school-age population share in total population, old population</w:t>
      </w:r>
      <w:r w:rsidR="00D50C1C" w:rsidRPr="005F6110">
        <w:rPr>
          <w:rFonts w:ascii="Times New Roman" w:hAnsi="Times New Roman" w:cs="Times New Roman"/>
          <w:sz w:val="20"/>
          <w:szCs w:val="20"/>
        </w:rPr>
        <w:t xml:space="preserve"> </w:t>
      </w:r>
      <w:r w:rsidRPr="005F6110">
        <w:rPr>
          <w:rFonts w:ascii="Times New Roman" w:hAnsi="Times New Roman" w:cs="Times New Roman"/>
          <w:sz w:val="20"/>
          <w:szCs w:val="20"/>
        </w:rPr>
        <w:t>share in total population,</w:t>
      </w:r>
      <w:r w:rsidR="00D50C1C" w:rsidRPr="005F6110">
        <w:rPr>
          <w:rFonts w:ascii="Times New Roman" w:hAnsi="Times New Roman" w:cs="Times New Roman"/>
          <w:sz w:val="20"/>
          <w:szCs w:val="20"/>
        </w:rPr>
        <w:t xml:space="preserve"> </w:t>
      </w:r>
      <w:r w:rsidRPr="005F6110">
        <w:rPr>
          <w:rFonts w:ascii="Times New Roman" w:hAnsi="Times New Roman" w:cs="Times New Roman"/>
          <w:sz w:val="20"/>
          <w:szCs w:val="20"/>
        </w:rPr>
        <w:t xml:space="preserve">GDP </w:t>
      </w:r>
      <w:r w:rsidR="00760288" w:rsidRPr="005F6110">
        <w:rPr>
          <w:rFonts w:ascii="Times New Roman" w:hAnsi="Times New Roman" w:cs="Times New Roman"/>
          <w:sz w:val="20"/>
          <w:szCs w:val="20"/>
        </w:rPr>
        <w:t xml:space="preserve">per capita </w:t>
      </w:r>
      <w:r w:rsidRPr="005F6110">
        <w:rPr>
          <w:rFonts w:ascii="Times New Roman" w:hAnsi="Times New Roman" w:cs="Times New Roman"/>
          <w:sz w:val="20"/>
          <w:szCs w:val="20"/>
        </w:rPr>
        <w:t>growth rate,</w:t>
      </w:r>
      <w:r w:rsidR="00E96D48" w:rsidRPr="005F6110">
        <w:rPr>
          <w:rFonts w:ascii="Times New Roman" w:hAnsi="Times New Roman" w:cs="Times New Roman"/>
          <w:sz w:val="20"/>
          <w:szCs w:val="20"/>
        </w:rPr>
        <w:t xml:space="preserve"> </w:t>
      </w:r>
      <w:r w:rsidR="0039345C" w:rsidRPr="005F6110">
        <w:rPr>
          <w:rFonts w:ascii="Times New Roman" w:hAnsi="Times New Roman" w:cs="Times New Roman"/>
          <w:sz w:val="20"/>
          <w:szCs w:val="20"/>
        </w:rPr>
        <w:t xml:space="preserve">government size, population, </w:t>
      </w:r>
      <w:r w:rsidRPr="005F6110">
        <w:rPr>
          <w:rFonts w:ascii="Times New Roman" w:hAnsi="Times New Roman" w:cs="Times New Roman"/>
          <w:sz w:val="20"/>
          <w:szCs w:val="20"/>
        </w:rPr>
        <w:t>and openness degree. The</w:t>
      </w:r>
      <w:r w:rsidR="00146277" w:rsidRPr="005F6110">
        <w:rPr>
          <w:rFonts w:ascii="Times New Roman" w:hAnsi="Times New Roman" w:cs="Times New Roman"/>
          <w:sz w:val="20"/>
          <w:szCs w:val="20"/>
        </w:rPr>
        <w:t xml:space="preserve"> u</w:t>
      </w:r>
      <w:r w:rsidRPr="005F6110">
        <w:rPr>
          <w:rFonts w:ascii="Times New Roman" w:hAnsi="Times New Roman" w:cs="Times New Roman"/>
          <w:sz w:val="20"/>
          <w:szCs w:val="20"/>
        </w:rPr>
        <w:t>se</w:t>
      </w:r>
      <w:r w:rsidR="00146277" w:rsidRPr="005F6110">
        <w:rPr>
          <w:rFonts w:ascii="Times New Roman" w:hAnsi="Times New Roman" w:cs="Times New Roman"/>
          <w:sz w:val="20"/>
          <w:szCs w:val="20"/>
        </w:rPr>
        <w:t xml:space="preserve"> of these</w:t>
      </w:r>
      <w:r w:rsidRPr="005F6110">
        <w:rPr>
          <w:rFonts w:ascii="Times New Roman" w:hAnsi="Times New Roman" w:cs="Times New Roman"/>
          <w:sz w:val="20"/>
          <w:szCs w:val="20"/>
        </w:rPr>
        <w:t xml:space="preserve"> </w:t>
      </w:r>
      <w:r w:rsidR="00146277" w:rsidRPr="005F6110">
        <w:rPr>
          <w:rFonts w:ascii="Times New Roman" w:hAnsi="Times New Roman" w:cs="Times New Roman"/>
          <w:sz w:val="20"/>
          <w:szCs w:val="20"/>
        </w:rPr>
        <w:t>variables is standard in</w:t>
      </w:r>
      <w:r w:rsidRPr="005F6110">
        <w:rPr>
          <w:rFonts w:ascii="Times New Roman" w:hAnsi="Times New Roman" w:cs="Times New Roman"/>
          <w:sz w:val="20"/>
          <w:szCs w:val="20"/>
        </w:rPr>
        <w:t xml:space="preserve"> the </w:t>
      </w:r>
      <w:r w:rsidR="00146277" w:rsidRPr="005F6110">
        <w:rPr>
          <w:rFonts w:ascii="Times New Roman" w:hAnsi="Times New Roman" w:cs="Times New Roman"/>
          <w:sz w:val="20"/>
          <w:szCs w:val="20"/>
        </w:rPr>
        <w:t>literature on the political economy of institutions</w:t>
      </w:r>
      <w:r w:rsidRPr="005F6110">
        <w:rPr>
          <w:rFonts w:ascii="Times New Roman" w:hAnsi="Times New Roman" w:cs="Times New Roman"/>
          <w:sz w:val="20"/>
          <w:szCs w:val="20"/>
        </w:rPr>
        <w:t xml:space="preserve"> and public education spending</w:t>
      </w:r>
      <w:r w:rsidR="00146277" w:rsidRPr="005F6110">
        <w:rPr>
          <w:rFonts w:ascii="Times New Roman" w:hAnsi="Times New Roman" w:cs="Times New Roman"/>
          <w:sz w:val="20"/>
          <w:szCs w:val="20"/>
        </w:rPr>
        <w:t>.</w:t>
      </w:r>
      <w:r w:rsidR="00873F9B" w:rsidRPr="005F6110">
        <w:rPr>
          <w:rFonts w:ascii="Times New Roman" w:hAnsi="Times New Roman" w:cs="Times New Roman"/>
          <w:sz w:val="20"/>
          <w:szCs w:val="20"/>
        </w:rPr>
        <w:t xml:space="preserve"> </w:t>
      </w:r>
    </w:p>
    <w:p w14:paraId="346192D5" w14:textId="0489660E" w:rsidR="002132D9" w:rsidRPr="005F6110" w:rsidRDefault="00AB7E5F" w:rsidP="00686C7B">
      <w:pPr>
        <w:spacing w:after="120" w:line="240" w:lineRule="auto"/>
        <w:ind w:left="-578"/>
        <w:jc w:val="both"/>
        <w:rPr>
          <w:rFonts w:ascii="Times New Roman" w:hAnsi="Times New Roman" w:cs="Times New Roman"/>
          <w:color w:val="FF0000"/>
          <w:sz w:val="20"/>
          <w:szCs w:val="20"/>
        </w:rPr>
      </w:pPr>
      <w:r w:rsidRPr="005F6110">
        <w:rPr>
          <w:rFonts w:ascii="Times New Roman" w:hAnsi="Times New Roman" w:cs="Times New Roman"/>
          <w:sz w:val="20"/>
          <w:szCs w:val="20"/>
        </w:rPr>
        <w:t xml:space="preserve">All the estimations </w:t>
      </w:r>
      <w:r w:rsidR="00215A37" w:rsidRPr="005F6110">
        <w:rPr>
          <w:rFonts w:ascii="Times New Roman" w:hAnsi="Times New Roman" w:cs="Times New Roman"/>
          <w:sz w:val="20"/>
          <w:szCs w:val="20"/>
        </w:rPr>
        <w:t xml:space="preserve">in </w:t>
      </w:r>
      <w:r w:rsidR="0039345C" w:rsidRPr="005F6110">
        <w:rPr>
          <w:rFonts w:ascii="Times New Roman" w:hAnsi="Times New Roman" w:cs="Times New Roman"/>
          <w:sz w:val="20"/>
          <w:szCs w:val="20"/>
        </w:rPr>
        <w:t>the t</w:t>
      </w:r>
      <w:r w:rsidRPr="005F6110">
        <w:rPr>
          <w:rFonts w:ascii="Times New Roman" w:hAnsi="Times New Roman" w:cs="Times New Roman"/>
          <w:sz w:val="20"/>
          <w:szCs w:val="20"/>
        </w:rPr>
        <w:t>able</w:t>
      </w:r>
      <w:r w:rsidR="0039345C" w:rsidRPr="005F6110">
        <w:rPr>
          <w:rFonts w:ascii="Times New Roman" w:hAnsi="Times New Roman" w:cs="Times New Roman"/>
          <w:sz w:val="20"/>
          <w:szCs w:val="20"/>
        </w:rPr>
        <w:t xml:space="preserve">s </w:t>
      </w:r>
      <w:r w:rsidRPr="005F6110">
        <w:rPr>
          <w:rFonts w:ascii="Times New Roman" w:hAnsi="Times New Roman" w:cs="Times New Roman"/>
          <w:sz w:val="20"/>
          <w:szCs w:val="20"/>
        </w:rPr>
        <w:t>report the point estimates and standard errors in parentheses. The advantage of reporting point estimates is that they show the effe</w:t>
      </w:r>
      <w:r w:rsidR="00146277" w:rsidRPr="005F6110">
        <w:rPr>
          <w:rFonts w:ascii="Times New Roman" w:hAnsi="Times New Roman" w:cs="Times New Roman"/>
          <w:sz w:val="20"/>
          <w:szCs w:val="20"/>
        </w:rPr>
        <w:t>cts of marginal changes in</w:t>
      </w:r>
      <w:r w:rsidRPr="005F6110">
        <w:rPr>
          <w:rFonts w:ascii="Times New Roman" w:hAnsi="Times New Roman" w:cs="Times New Roman"/>
          <w:sz w:val="20"/>
          <w:szCs w:val="20"/>
        </w:rPr>
        <w:t xml:space="preserve"> </w:t>
      </w:r>
      <w:r w:rsidR="00215A37" w:rsidRPr="005F6110">
        <w:rPr>
          <w:rFonts w:ascii="Times New Roman" w:hAnsi="Times New Roman" w:cs="Times New Roman"/>
          <w:sz w:val="20"/>
          <w:szCs w:val="20"/>
        </w:rPr>
        <w:t xml:space="preserve">the explanatory </w:t>
      </w:r>
      <w:r w:rsidRPr="005F6110">
        <w:rPr>
          <w:rFonts w:ascii="Times New Roman" w:hAnsi="Times New Roman" w:cs="Times New Roman"/>
          <w:sz w:val="20"/>
          <w:szCs w:val="20"/>
        </w:rPr>
        <w:t xml:space="preserve">variables on public education spending. </w:t>
      </w:r>
      <w:r w:rsidR="00215A37" w:rsidRPr="005F6110">
        <w:rPr>
          <w:rFonts w:ascii="Times New Roman" w:hAnsi="Times New Roman" w:cs="Times New Roman"/>
          <w:sz w:val="20"/>
          <w:szCs w:val="20"/>
        </w:rPr>
        <w:t xml:space="preserve">In all regressions </w:t>
      </w:r>
      <w:r w:rsidR="0039345C" w:rsidRPr="005F6110">
        <w:rPr>
          <w:rFonts w:ascii="Times New Roman" w:hAnsi="Times New Roman" w:cs="Times New Roman"/>
          <w:sz w:val="20"/>
          <w:szCs w:val="20"/>
        </w:rPr>
        <w:t>in</w:t>
      </w:r>
      <w:r w:rsidR="00BD32FD" w:rsidRPr="005F6110">
        <w:rPr>
          <w:rFonts w:ascii="Times New Roman" w:hAnsi="Times New Roman" w:cs="Times New Roman"/>
          <w:sz w:val="20"/>
          <w:szCs w:val="20"/>
        </w:rPr>
        <w:t xml:space="preserve"> </w:t>
      </w:r>
      <w:r w:rsidR="0039345C" w:rsidRPr="005F6110">
        <w:rPr>
          <w:rFonts w:ascii="Times New Roman" w:hAnsi="Times New Roman" w:cs="Times New Roman"/>
          <w:sz w:val="20"/>
          <w:szCs w:val="20"/>
        </w:rPr>
        <w:t>Table 2</w:t>
      </w:r>
      <w:r w:rsidR="00BD32FD" w:rsidRPr="005F6110">
        <w:rPr>
          <w:rFonts w:ascii="Times New Roman" w:hAnsi="Times New Roman" w:cs="Times New Roman"/>
          <w:sz w:val="20"/>
          <w:szCs w:val="20"/>
        </w:rPr>
        <w:t xml:space="preserve"> </w:t>
      </w:r>
      <w:r w:rsidR="00215A37" w:rsidRPr="005F6110">
        <w:rPr>
          <w:rFonts w:ascii="Times New Roman" w:hAnsi="Times New Roman" w:cs="Times New Roman"/>
          <w:sz w:val="20"/>
          <w:szCs w:val="20"/>
        </w:rPr>
        <w:t xml:space="preserve">the coefficients of log GDP per capita and GDP growth rate are negative and significant. This may be due to the </w:t>
      </w:r>
      <w:r w:rsidR="00BD32FD" w:rsidRPr="005F6110">
        <w:rPr>
          <w:rFonts w:ascii="Times New Roman" w:hAnsi="Times New Roman" w:cs="Times New Roman"/>
          <w:sz w:val="20"/>
          <w:szCs w:val="20"/>
        </w:rPr>
        <w:t>situation</w:t>
      </w:r>
      <w:r w:rsidR="00215A37" w:rsidRPr="005F6110">
        <w:rPr>
          <w:rFonts w:ascii="Times New Roman" w:hAnsi="Times New Roman" w:cs="Times New Roman"/>
          <w:sz w:val="20"/>
          <w:szCs w:val="20"/>
        </w:rPr>
        <w:t xml:space="preserve"> that when countries become richer private education options may be more widespread and preferred compared to public education. </w:t>
      </w:r>
      <w:r w:rsidR="00BD32FD" w:rsidRPr="005F6110">
        <w:rPr>
          <w:rFonts w:ascii="Times New Roman" w:hAnsi="Times New Roman" w:cs="Times New Roman"/>
          <w:sz w:val="20"/>
          <w:szCs w:val="20"/>
        </w:rPr>
        <w:t xml:space="preserve">As the government size increases it is indicated that public education spending also increases within a country. </w:t>
      </w:r>
      <w:r w:rsidR="006755C6" w:rsidRPr="005F6110">
        <w:rPr>
          <w:rFonts w:ascii="Times New Roman" w:hAnsi="Times New Roman" w:cs="Times New Roman"/>
          <w:sz w:val="20"/>
          <w:szCs w:val="20"/>
        </w:rPr>
        <w:t>Table 2</w:t>
      </w:r>
      <w:r w:rsidR="00FA2678" w:rsidRPr="005F6110">
        <w:rPr>
          <w:rFonts w:ascii="Times New Roman" w:hAnsi="Times New Roman" w:cs="Times New Roman"/>
          <w:sz w:val="20"/>
          <w:szCs w:val="20"/>
        </w:rPr>
        <w:t xml:space="preserve"> reports the estimation results</w:t>
      </w:r>
      <w:r w:rsidR="00215A37" w:rsidRPr="005F6110">
        <w:rPr>
          <w:rFonts w:ascii="Times New Roman" w:hAnsi="Times New Roman" w:cs="Times New Roman"/>
          <w:sz w:val="20"/>
          <w:szCs w:val="20"/>
        </w:rPr>
        <w:t xml:space="preserve"> for the comprehensive sample</w:t>
      </w:r>
      <w:r w:rsidR="00BD32FD" w:rsidRPr="005F6110">
        <w:rPr>
          <w:rFonts w:ascii="Times New Roman" w:hAnsi="Times New Roman" w:cs="Times New Roman"/>
          <w:sz w:val="20"/>
          <w:szCs w:val="20"/>
        </w:rPr>
        <w:t xml:space="preserve"> and without the governance indicators</w:t>
      </w:r>
      <w:r w:rsidR="00215A37" w:rsidRPr="005F6110">
        <w:rPr>
          <w:rFonts w:ascii="Times New Roman" w:hAnsi="Times New Roman" w:cs="Times New Roman"/>
          <w:sz w:val="20"/>
          <w:szCs w:val="20"/>
        </w:rPr>
        <w:t xml:space="preserve">. Column </w:t>
      </w:r>
      <w:r w:rsidR="00262CD0" w:rsidRPr="005F6110">
        <w:rPr>
          <w:rFonts w:ascii="Times New Roman" w:hAnsi="Times New Roman" w:cs="Times New Roman"/>
          <w:sz w:val="20"/>
          <w:szCs w:val="20"/>
        </w:rPr>
        <w:t>(</w:t>
      </w:r>
      <w:r w:rsidR="00215A37" w:rsidRPr="005F6110">
        <w:rPr>
          <w:rFonts w:ascii="Times New Roman" w:hAnsi="Times New Roman" w:cs="Times New Roman"/>
          <w:sz w:val="20"/>
          <w:szCs w:val="20"/>
        </w:rPr>
        <w:t>1</w:t>
      </w:r>
      <w:r w:rsidR="00262CD0" w:rsidRPr="005F6110">
        <w:rPr>
          <w:rFonts w:ascii="Times New Roman" w:hAnsi="Times New Roman" w:cs="Times New Roman"/>
          <w:sz w:val="20"/>
          <w:szCs w:val="20"/>
        </w:rPr>
        <w:t>)</w:t>
      </w:r>
      <w:r w:rsidR="00215A37" w:rsidRPr="005F6110">
        <w:rPr>
          <w:rFonts w:ascii="Times New Roman" w:hAnsi="Times New Roman" w:cs="Times New Roman"/>
          <w:sz w:val="20"/>
          <w:szCs w:val="20"/>
        </w:rPr>
        <w:t xml:space="preserve"> shows the result</w:t>
      </w:r>
      <w:r w:rsidR="00AE607D" w:rsidRPr="005F6110">
        <w:rPr>
          <w:rFonts w:ascii="Times New Roman" w:hAnsi="Times New Roman" w:cs="Times New Roman"/>
          <w:sz w:val="20"/>
          <w:szCs w:val="20"/>
        </w:rPr>
        <w:t>s</w:t>
      </w:r>
      <w:r w:rsidR="00215A37" w:rsidRPr="005F6110">
        <w:rPr>
          <w:rFonts w:ascii="Times New Roman" w:hAnsi="Times New Roman" w:cs="Times New Roman"/>
          <w:sz w:val="20"/>
          <w:szCs w:val="20"/>
        </w:rPr>
        <w:t xml:space="preserve"> of the estimation without any interaction term. </w:t>
      </w:r>
    </w:p>
    <w:p w14:paraId="118EF504" w14:textId="77777777" w:rsidR="00BD32FD" w:rsidRPr="005F6110" w:rsidRDefault="009740BF" w:rsidP="00686C7B">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In all estimations in Table</w:t>
      </w:r>
      <w:r w:rsidR="00BD32FD" w:rsidRPr="005F6110">
        <w:rPr>
          <w:rFonts w:ascii="Times New Roman" w:hAnsi="Times New Roman" w:cs="Times New Roman"/>
          <w:sz w:val="20"/>
          <w:szCs w:val="20"/>
        </w:rPr>
        <w:t>s</w:t>
      </w:r>
      <w:r w:rsidRPr="005F6110">
        <w:rPr>
          <w:rFonts w:ascii="Times New Roman" w:hAnsi="Times New Roman" w:cs="Times New Roman"/>
          <w:sz w:val="20"/>
          <w:szCs w:val="20"/>
        </w:rPr>
        <w:t xml:space="preserve"> 2</w:t>
      </w:r>
      <w:r w:rsidR="00BD32FD" w:rsidRPr="005F6110">
        <w:rPr>
          <w:rFonts w:ascii="Times New Roman" w:hAnsi="Times New Roman" w:cs="Times New Roman"/>
          <w:sz w:val="20"/>
          <w:szCs w:val="20"/>
        </w:rPr>
        <w:t xml:space="preserve">, 3 and 4 </w:t>
      </w:r>
      <w:r w:rsidRPr="005F6110">
        <w:rPr>
          <w:rFonts w:ascii="Times New Roman" w:hAnsi="Times New Roman" w:cs="Times New Roman"/>
          <w:sz w:val="20"/>
          <w:szCs w:val="20"/>
        </w:rPr>
        <w:t xml:space="preserve">resource rent shows a direct negative and statistically significant effect on public education spending. </w:t>
      </w:r>
      <w:r w:rsidR="002132D9" w:rsidRPr="005F6110">
        <w:rPr>
          <w:rFonts w:ascii="Times New Roman" w:hAnsi="Times New Roman" w:cs="Times New Roman"/>
          <w:sz w:val="20"/>
          <w:szCs w:val="20"/>
        </w:rPr>
        <w:t xml:space="preserve">Controlling for the </w:t>
      </w:r>
      <w:r w:rsidR="00AE607D" w:rsidRPr="005F6110">
        <w:rPr>
          <w:rFonts w:ascii="Times New Roman" w:hAnsi="Times New Roman" w:cs="Times New Roman"/>
          <w:sz w:val="20"/>
          <w:szCs w:val="20"/>
        </w:rPr>
        <w:t xml:space="preserve">lobbying power </w:t>
      </w:r>
      <w:r w:rsidR="002132D9" w:rsidRPr="005F6110">
        <w:rPr>
          <w:rFonts w:ascii="Times New Roman" w:hAnsi="Times New Roman" w:cs="Times New Roman"/>
          <w:sz w:val="20"/>
          <w:szCs w:val="20"/>
        </w:rPr>
        <w:t xml:space="preserve">of the manufacturers and landowners </w:t>
      </w:r>
      <w:r w:rsidR="00BD32FD" w:rsidRPr="005F6110">
        <w:rPr>
          <w:rFonts w:ascii="Times New Roman" w:hAnsi="Times New Roman" w:cs="Times New Roman"/>
          <w:sz w:val="20"/>
          <w:szCs w:val="20"/>
        </w:rPr>
        <w:t xml:space="preserve">using the proxy variables, </w:t>
      </w:r>
      <w:r w:rsidR="002132D9" w:rsidRPr="005F6110">
        <w:rPr>
          <w:rFonts w:ascii="Times New Roman" w:hAnsi="Times New Roman" w:cs="Times New Roman"/>
          <w:sz w:val="20"/>
          <w:szCs w:val="20"/>
        </w:rPr>
        <w:t xml:space="preserve">manufacture export and agriculture value added, respectively, the total impact of </w:t>
      </w:r>
      <w:r w:rsidR="009E3870" w:rsidRPr="005F6110">
        <w:rPr>
          <w:rFonts w:ascii="Times New Roman" w:hAnsi="Times New Roman" w:cs="Times New Roman"/>
          <w:sz w:val="20"/>
          <w:szCs w:val="20"/>
        </w:rPr>
        <w:t>natural resource owners’</w:t>
      </w:r>
      <w:r w:rsidR="00BD32FD" w:rsidRPr="005F6110">
        <w:rPr>
          <w:rFonts w:ascii="Times New Roman" w:hAnsi="Times New Roman" w:cs="Times New Roman"/>
          <w:sz w:val="20"/>
          <w:szCs w:val="20"/>
        </w:rPr>
        <w:t xml:space="preserve"> lobbying </w:t>
      </w:r>
      <w:r w:rsidR="009E3870" w:rsidRPr="005F6110">
        <w:rPr>
          <w:rFonts w:ascii="Times New Roman" w:hAnsi="Times New Roman" w:cs="Times New Roman"/>
          <w:sz w:val="20"/>
          <w:szCs w:val="20"/>
        </w:rPr>
        <w:t xml:space="preserve">power, proxied by </w:t>
      </w:r>
      <w:r w:rsidR="002132D9" w:rsidRPr="005F6110">
        <w:rPr>
          <w:rFonts w:ascii="Times New Roman" w:hAnsi="Times New Roman" w:cs="Times New Roman"/>
          <w:sz w:val="20"/>
          <w:szCs w:val="20"/>
        </w:rPr>
        <w:t>resource</w:t>
      </w:r>
      <w:r w:rsidR="009E3870" w:rsidRPr="005F6110">
        <w:rPr>
          <w:rFonts w:ascii="Times New Roman" w:hAnsi="Times New Roman" w:cs="Times New Roman"/>
          <w:sz w:val="20"/>
          <w:szCs w:val="20"/>
        </w:rPr>
        <w:t xml:space="preserve"> </w:t>
      </w:r>
      <w:r w:rsidR="002132D9" w:rsidRPr="005F6110">
        <w:rPr>
          <w:rFonts w:ascii="Times New Roman" w:hAnsi="Times New Roman" w:cs="Times New Roman"/>
          <w:sz w:val="20"/>
          <w:szCs w:val="20"/>
        </w:rPr>
        <w:t>rent</w:t>
      </w:r>
      <w:r w:rsidR="009E3870" w:rsidRPr="005F6110">
        <w:rPr>
          <w:rFonts w:ascii="Times New Roman" w:hAnsi="Times New Roman" w:cs="Times New Roman"/>
          <w:sz w:val="20"/>
          <w:szCs w:val="20"/>
        </w:rPr>
        <w:t xml:space="preserve">, </w:t>
      </w:r>
      <w:r w:rsidR="002132D9" w:rsidRPr="005F6110">
        <w:rPr>
          <w:rFonts w:ascii="Times New Roman" w:hAnsi="Times New Roman" w:cs="Times New Roman"/>
          <w:sz w:val="20"/>
          <w:szCs w:val="20"/>
        </w:rPr>
        <w:t>on public</w:t>
      </w:r>
      <w:r w:rsidR="00460339" w:rsidRPr="005F6110">
        <w:rPr>
          <w:rFonts w:ascii="Times New Roman" w:hAnsi="Times New Roman" w:cs="Times New Roman"/>
          <w:sz w:val="20"/>
          <w:szCs w:val="20"/>
        </w:rPr>
        <w:t xml:space="preserve"> </w:t>
      </w:r>
      <w:r w:rsidR="002132D9" w:rsidRPr="005F6110">
        <w:rPr>
          <w:rFonts w:ascii="Times New Roman" w:hAnsi="Times New Roman" w:cs="Times New Roman"/>
          <w:sz w:val="20"/>
          <w:szCs w:val="20"/>
        </w:rPr>
        <w:t xml:space="preserve">education spending </w:t>
      </w:r>
      <w:r w:rsidR="00146277" w:rsidRPr="005F6110">
        <w:rPr>
          <w:rFonts w:ascii="Times New Roman" w:hAnsi="Times New Roman" w:cs="Times New Roman"/>
          <w:sz w:val="20"/>
          <w:szCs w:val="20"/>
        </w:rPr>
        <w:t>is measured by its direct effect as well as through its indirect</w:t>
      </w:r>
      <w:r w:rsidR="009E3870" w:rsidRPr="005F6110">
        <w:rPr>
          <w:rFonts w:ascii="Times New Roman" w:hAnsi="Times New Roman" w:cs="Times New Roman"/>
          <w:sz w:val="20"/>
          <w:szCs w:val="20"/>
        </w:rPr>
        <w:t xml:space="preserve"> </w:t>
      </w:r>
      <w:r w:rsidR="00146277" w:rsidRPr="005F6110">
        <w:rPr>
          <w:rFonts w:ascii="Times New Roman" w:hAnsi="Times New Roman" w:cs="Times New Roman"/>
          <w:sz w:val="20"/>
          <w:szCs w:val="20"/>
        </w:rPr>
        <w:t>effect</w:t>
      </w:r>
      <w:r w:rsidR="00BD32FD" w:rsidRPr="005F6110">
        <w:rPr>
          <w:rFonts w:ascii="Times New Roman" w:hAnsi="Times New Roman" w:cs="Times New Roman"/>
          <w:sz w:val="20"/>
          <w:szCs w:val="20"/>
        </w:rPr>
        <w:t xml:space="preserve"> v</w:t>
      </w:r>
      <w:r w:rsidR="009E3870" w:rsidRPr="005F6110">
        <w:rPr>
          <w:rFonts w:ascii="Times New Roman" w:hAnsi="Times New Roman" w:cs="Times New Roman"/>
          <w:sz w:val="20"/>
          <w:szCs w:val="20"/>
        </w:rPr>
        <w:t xml:space="preserve">ia </w:t>
      </w:r>
      <w:r w:rsidR="00146277" w:rsidRPr="005F6110">
        <w:rPr>
          <w:rFonts w:ascii="Times New Roman" w:hAnsi="Times New Roman" w:cs="Times New Roman"/>
          <w:sz w:val="20"/>
          <w:szCs w:val="20"/>
        </w:rPr>
        <w:t>institutions</w:t>
      </w:r>
      <w:r w:rsidR="00FB6ED1" w:rsidRPr="005F6110">
        <w:rPr>
          <w:rFonts w:ascii="Times New Roman" w:hAnsi="Times New Roman" w:cs="Times New Roman"/>
          <w:sz w:val="20"/>
          <w:szCs w:val="20"/>
        </w:rPr>
        <w:t>.</w:t>
      </w:r>
      <w:r w:rsidR="00BD32FD" w:rsidRPr="005F6110">
        <w:rPr>
          <w:rFonts w:ascii="Times New Roman" w:hAnsi="Times New Roman" w:cs="Times New Roman"/>
          <w:sz w:val="20"/>
          <w:szCs w:val="20"/>
        </w:rPr>
        <w:t xml:space="preserve"> </w:t>
      </w:r>
    </w:p>
    <w:p w14:paraId="1E4AC328" w14:textId="01ED7141" w:rsidR="00460339" w:rsidRPr="005F6110" w:rsidRDefault="00BD32FD" w:rsidP="00686C7B">
      <w:pPr>
        <w:spacing w:after="120" w:line="240" w:lineRule="auto"/>
        <w:ind w:left="-578"/>
        <w:jc w:val="both"/>
        <w:rPr>
          <w:rFonts w:ascii="Times New Roman" w:hAnsi="Times New Roman" w:cs="Times New Roman"/>
          <w:sz w:val="20"/>
          <w:szCs w:val="20"/>
        </w:rPr>
      </w:pPr>
      <w:r w:rsidRPr="005F6110">
        <w:rPr>
          <w:rFonts w:ascii="Times New Roman" w:hAnsi="Times New Roman" w:cs="Times New Roman"/>
          <w:sz w:val="20"/>
          <w:szCs w:val="20"/>
        </w:rPr>
        <w:t>The estimations in Tables 3 and 4 focus on the regressions including the governance indicators. The coefficients of governance indicators appear negative and statistically significant. This can be due to the situation that institutional quality may be perceived</w:t>
      </w:r>
      <w:r w:rsidR="00A52A44" w:rsidRPr="005F6110">
        <w:rPr>
          <w:rFonts w:ascii="Times New Roman" w:hAnsi="Times New Roman" w:cs="Times New Roman"/>
          <w:sz w:val="20"/>
          <w:szCs w:val="20"/>
        </w:rPr>
        <w:t xml:space="preserve"> as a substitute for human capital within countries (</w:t>
      </w:r>
      <w:proofErr w:type="spellStart"/>
      <w:r w:rsidR="00A52A44" w:rsidRPr="005F6110">
        <w:rPr>
          <w:rFonts w:ascii="Times New Roman" w:hAnsi="Times New Roman" w:cs="Times New Roman"/>
          <w:sz w:val="20"/>
          <w:szCs w:val="20"/>
        </w:rPr>
        <w:t>Glaeser</w:t>
      </w:r>
      <w:proofErr w:type="spellEnd"/>
      <w:r w:rsidR="00A52A44" w:rsidRPr="005F6110">
        <w:rPr>
          <w:rFonts w:ascii="Times New Roman" w:hAnsi="Times New Roman" w:cs="Times New Roman"/>
          <w:sz w:val="20"/>
          <w:szCs w:val="20"/>
        </w:rPr>
        <w:t xml:space="preserve"> et al., 2004). When institutional quality improves this negatively affects public education spending. </w:t>
      </w:r>
      <w:r w:rsidR="00460339" w:rsidRPr="005F6110">
        <w:rPr>
          <w:rFonts w:ascii="Times New Roman" w:hAnsi="Times New Roman" w:cs="Times New Roman"/>
          <w:sz w:val="20"/>
          <w:szCs w:val="20"/>
        </w:rPr>
        <w:t>The interaction</w:t>
      </w:r>
      <w:r w:rsidR="00262CD0" w:rsidRPr="005F6110">
        <w:rPr>
          <w:rFonts w:ascii="Times New Roman" w:hAnsi="Times New Roman" w:cs="Times New Roman"/>
          <w:sz w:val="20"/>
          <w:szCs w:val="20"/>
        </w:rPr>
        <w:t>s</w:t>
      </w:r>
      <w:r w:rsidR="00460339" w:rsidRPr="005F6110">
        <w:rPr>
          <w:rFonts w:ascii="Times New Roman" w:hAnsi="Times New Roman" w:cs="Times New Roman"/>
          <w:sz w:val="20"/>
          <w:szCs w:val="20"/>
        </w:rPr>
        <w:t xml:space="preserve"> of resource rent with political stability</w:t>
      </w:r>
      <w:r w:rsidR="009E3870" w:rsidRPr="005F6110">
        <w:rPr>
          <w:rFonts w:ascii="Times New Roman" w:hAnsi="Times New Roman" w:cs="Times New Roman"/>
          <w:sz w:val="20"/>
          <w:szCs w:val="20"/>
        </w:rPr>
        <w:t>-</w:t>
      </w:r>
      <w:r w:rsidR="00460339" w:rsidRPr="005F6110">
        <w:rPr>
          <w:rFonts w:ascii="Times New Roman" w:hAnsi="Times New Roman" w:cs="Times New Roman"/>
          <w:sz w:val="20"/>
          <w:szCs w:val="20"/>
        </w:rPr>
        <w:t>absence of violence,</w:t>
      </w:r>
      <w:r w:rsidR="000C7A38" w:rsidRPr="005F6110">
        <w:rPr>
          <w:rFonts w:ascii="Times New Roman" w:hAnsi="Times New Roman" w:cs="Times New Roman"/>
          <w:sz w:val="20"/>
          <w:szCs w:val="20"/>
        </w:rPr>
        <w:t xml:space="preserve"> </w:t>
      </w:r>
      <w:r w:rsidR="00262CD0" w:rsidRPr="005F6110">
        <w:rPr>
          <w:rFonts w:ascii="Times New Roman" w:hAnsi="Times New Roman" w:cs="Times New Roman"/>
          <w:sz w:val="20"/>
          <w:szCs w:val="20"/>
        </w:rPr>
        <w:t xml:space="preserve">with </w:t>
      </w:r>
      <w:r w:rsidR="000C7A38" w:rsidRPr="005F6110">
        <w:rPr>
          <w:rFonts w:ascii="Times New Roman" w:hAnsi="Times New Roman" w:cs="Times New Roman"/>
          <w:sz w:val="20"/>
          <w:szCs w:val="20"/>
        </w:rPr>
        <w:t xml:space="preserve">corruption control, with government effectiveness, </w:t>
      </w:r>
      <w:r w:rsidR="00460339" w:rsidRPr="005F6110">
        <w:rPr>
          <w:rFonts w:ascii="Times New Roman" w:hAnsi="Times New Roman" w:cs="Times New Roman"/>
          <w:sz w:val="20"/>
          <w:szCs w:val="20"/>
        </w:rPr>
        <w:t>and with rule of law</w:t>
      </w:r>
      <w:r w:rsidR="000C7A38" w:rsidRPr="005F6110">
        <w:rPr>
          <w:rFonts w:ascii="Times New Roman" w:hAnsi="Times New Roman" w:cs="Times New Roman"/>
          <w:sz w:val="20"/>
          <w:szCs w:val="20"/>
        </w:rPr>
        <w:t xml:space="preserve"> </w:t>
      </w:r>
      <w:r w:rsidR="00460339" w:rsidRPr="005F6110">
        <w:rPr>
          <w:rFonts w:ascii="Times New Roman" w:hAnsi="Times New Roman" w:cs="Times New Roman"/>
          <w:sz w:val="20"/>
          <w:szCs w:val="20"/>
        </w:rPr>
        <w:t xml:space="preserve">are statistically significant. The total effect of a marginal increase in resource rent implied by </w:t>
      </w:r>
      <w:r w:rsidR="00262CD0" w:rsidRPr="005F6110">
        <w:rPr>
          <w:rFonts w:ascii="Times New Roman" w:hAnsi="Times New Roman" w:cs="Times New Roman"/>
          <w:sz w:val="20"/>
          <w:szCs w:val="20"/>
        </w:rPr>
        <w:t>equation</w:t>
      </w:r>
      <w:r w:rsidR="00460339" w:rsidRPr="005F6110">
        <w:rPr>
          <w:rFonts w:ascii="Times New Roman" w:hAnsi="Times New Roman" w:cs="Times New Roman"/>
          <w:sz w:val="20"/>
          <w:szCs w:val="20"/>
        </w:rPr>
        <w:t xml:space="preserve"> </w:t>
      </w:r>
      <w:r w:rsidR="00262CD0" w:rsidRPr="005F6110">
        <w:rPr>
          <w:rFonts w:ascii="Times New Roman" w:hAnsi="Times New Roman" w:cs="Times New Roman"/>
          <w:sz w:val="20"/>
          <w:szCs w:val="20"/>
        </w:rPr>
        <w:t xml:space="preserve">(1) </w:t>
      </w:r>
      <w:r w:rsidR="00460339" w:rsidRPr="005F6110">
        <w:rPr>
          <w:rFonts w:ascii="Times New Roman" w:hAnsi="Times New Roman" w:cs="Times New Roman"/>
          <w:sz w:val="20"/>
          <w:szCs w:val="20"/>
        </w:rPr>
        <w:t xml:space="preserve">is </w:t>
      </w:r>
    </w:p>
    <w:p w14:paraId="352D9DD7" w14:textId="1ABACF2D" w:rsidR="00460339" w:rsidRPr="009F00D1" w:rsidRDefault="00E5123A" w:rsidP="00044841">
      <w:pPr>
        <w:spacing w:after="240" w:line="360" w:lineRule="auto"/>
        <w:ind w:left="-576" w:firstLine="144"/>
        <w:jc w:val="both"/>
        <w:rPr>
          <w:rFonts w:ascii="Times New Roman" w:eastAsiaTheme="minorEastAsia" w:hAnsi="Times New Roman" w:cs="Times New Roman"/>
          <w:sz w:val="24"/>
          <w:szCs w:val="24"/>
        </w:rPr>
      </w:p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 public education spending</m:t>
            </m:r>
          </m:num>
          <m:den>
            <m:r>
              <w:rPr>
                <w:rFonts w:ascii="Cambria Math" w:eastAsiaTheme="minorEastAsia" w:hAnsi="Cambria Math" w:cs="Times New Roman"/>
                <w:sz w:val="20"/>
                <w:szCs w:val="20"/>
              </w:rPr>
              <m:t>∂ resource rent</m:t>
            </m:r>
          </m:den>
        </m:f>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β</m:t>
                </m:r>
              </m:e>
            </m:acc>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β</m:t>
                </m:r>
              </m:e>
            </m:acc>
          </m:e>
          <m:sub>
            <m:r>
              <w:rPr>
                <w:rFonts w:ascii="Cambria Math" w:eastAsiaTheme="minorEastAsia" w:hAnsi="Cambria Math" w:cs="Times New Roman"/>
                <w:sz w:val="20"/>
                <w:szCs w:val="20"/>
              </w:rPr>
              <m:t>4</m:t>
            </m:r>
          </m:sub>
        </m:sSub>
        <m:r>
          <w:rPr>
            <w:rFonts w:ascii="Cambria Math" w:eastAsiaTheme="minorEastAsia" w:hAnsi="Cambria Math" w:cs="Times New Roman"/>
            <w:sz w:val="20"/>
            <w:szCs w:val="20"/>
          </w:rPr>
          <m:t>governance indicator</m:t>
        </m:r>
      </m:oMath>
      <w:r w:rsidR="00460339" w:rsidRPr="009F00D1">
        <w:rPr>
          <w:rFonts w:ascii="Times New Roman" w:eastAsiaTheme="minorEastAsia" w:hAnsi="Times New Roman" w:cs="Times New Roman"/>
          <w:sz w:val="24"/>
          <w:szCs w:val="24"/>
        </w:rPr>
        <w:t xml:space="preserve"> </w:t>
      </w:r>
      <w:r w:rsidR="0085522B">
        <w:rPr>
          <w:rFonts w:ascii="Times New Roman" w:eastAsiaTheme="minorEastAsia" w:hAnsi="Times New Roman" w:cs="Times New Roman"/>
          <w:sz w:val="24"/>
          <w:szCs w:val="24"/>
        </w:rPr>
        <w:t xml:space="preserve">                                                    </w:t>
      </w:r>
      <w:r w:rsidR="005F6110">
        <w:rPr>
          <w:rFonts w:ascii="Times New Roman" w:eastAsiaTheme="minorEastAsia" w:hAnsi="Times New Roman" w:cs="Times New Roman"/>
          <w:sz w:val="24"/>
          <w:szCs w:val="24"/>
        </w:rPr>
        <w:t xml:space="preserve">    </w:t>
      </w:r>
      <w:r w:rsidR="00686C7B">
        <w:rPr>
          <w:rFonts w:ascii="Times New Roman" w:eastAsiaTheme="minorEastAsia" w:hAnsi="Times New Roman" w:cs="Times New Roman"/>
          <w:sz w:val="24"/>
          <w:szCs w:val="24"/>
        </w:rPr>
        <w:t xml:space="preserve">          </w:t>
      </w:r>
      <w:r w:rsidR="0085522B" w:rsidRPr="005F6110">
        <w:rPr>
          <w:rFonts w:ascii="Times New Roman" w:eastAsiaTheme="minorEastAsia" w:hAnsi="Times New Roman" w:cs="Times New Roman"/>
          <w:sz w:val="20"/>
          <w:szCs w:val="20"/>
        </w:rPr>
        <w:t>(2)</w:t>
      </w:r>
    </w:p>
    <w:p w14:paraId="320CFF72" w14:textId="1C13AF3F" w:rsidR="00B00096" w:rsidRPr="00686C7B" w:rsidRDefault="00460339" w:rsidP="00686C7B">
      <w:pPr>
        <w:spacing w:after="120" w:line="240" w:lineRule="auto"/>
        <w:ind w:left="-578"/>
        <w:jc w:val="both"/>
        <w:rPr>
          <w:rFonts w:ascii="Times New Roman" w:hAnsi="Times New Roman" w:cs="Times New Roman"/>
          <w:sz w:val="20"/>
          <w:szCs w:val="20"/>
        </w:rPr>
      </w:pPr>
      <w:r w:rsidRPr="00686C7B">
        <w:rPr>
          <w:rFonts w:ascii="Times New Roman" w:eastAsiaTheme="minorEastAsia" w:hAnsi="Times New Roman" w:cs="Times New Roman"/>
          <w:sz w:val="20"/>
          <w:szCs w:val="20"/>
        </w:rPr>
        <w:t>Hence</w:t>
      </w:r>
      <w:r w:rsidR="009E3870" w:rsidRPr="00686C7B">
        <w:rPr>
          <w:rFonts w:ascii="Times New Roman" w:eastAsiaTheme="minorEastAsia" w:hAnsi="Times New Roman" w:cs="Times New Roman"/>
          <w:sz w:val="20"/>
          <w:szCs w:val="20"/>
        </w:rPr>
        <w:t xml:space="preserve">, </w:t>
      </w:r>
      <w:r w:rsidR="00FB6ED1" w:rsidRPr="00686C7B">
        <w:rPr>
          <w:rFonts w:ascii="Times New Roman" w:hAnsi="Times New Roman" w:cs="Times New Roman"/>
          <w:sz w:val="20"/>
          <w:szCs w:val="20"/>
        </w:rPr>
        <w:t>when interacted with</w:t>
      </w:r>
      <w:r w:rsidR="00AE607D" w:rsidRPr="00686C7B">
        <w:rPr>
          <w:rFonts w:ascii="Times New Roman" w:hAnsi="Times New Roman" w:cs="Times New Roman"/>
          <w:sz w:val="20"/>
          <w:szCs w:val="20"/>
        </w:rPr>
        <w:t xml:space="preserve"> </w:t>
      </w:r>
      <w:r w:rsidRPr="00686C7B">
        <w:rPr>
          <w:rFonts w:ascii="Times New Roman" w:hAnsi="Times New Roman" w:cs="Times New Roman"/>
          <w:sz w:val="20"/>
          <w:szCs w:val="20"/>
        </w:rPr>
        <w:t>political stability</w:t>
      </w:r>
      <w:r w:rsidR="009E3870" w:rsidRPr="00686C7B">
        <w:rPr>
          <w:rFonts w:ascii="Times New Roman" w:hAnsi="Times New Roman" w:cs="Times New Roman"/>
          <w:sz w:val="20"/>
          <w:szCs w:val="20"/>
        </w:rPr>
        <w:t>-</w:t>
      </w:r>
      <w:r w:rsidRPr="00686C7B">
        <w:rPr>
          <w:rFonts w:ascii="Times New Roman" w:hAnsi="Times New Roman" w:cs="Times New Roman"/>
          <w:sz w:val="20"/>
          <w:szCs w:val="20"/>
        </w:rPr>
        <w:t>absence of violence</w:t>
      </w:r>
      <w:r w:rsidR="00AE607D" w:rsidRPr="00686C7B">
        <w:rPr>
          <w:rFonts w:ascii="Times New Roman" w:hAnsi="Times New Roman" w:cs="Times New Roman"/>
          <w:sz w:val="20"/>
          <w:szCs w:val="20"/>
        </w:rPr>
        <w:t xml:space="preserve"> </w:t>
      </w:r>
      <w:r w:rsidRPr="00686C7B">
        <w:rPr>
          <w:rFonts w:ascii="Times New Roman" w:hAnsi="Times New Roman" w:cs="Times New Roman"/>
          <w:sz w:val="20"/>
          <w:szCs w:val="20"/>
        </w:rPr>
        <w:t xml:space="preserve">the effect of </w:t>
      </w:r>
      <w:r w:rsidR="000C7A38" w:rsidRPr="00686C7B">
        <w:rPr>
          <w:rFonts w:ascii="Times New Roman" w:hAnsi="Times New Roman" w:cs="Times New Roman"/>
          <w:sz w:val="20"/>
          <w:szCs w:val="20"/>
        </w:rPr>
        <w:t xml:space="preserve">a marginal increase in natural resource rent </w:t>
      </w:r>
      <w:r w:rsidRPr="00686C7B">
        <w:rPr>
          <w:rFonts w:ascii="Times New Roman" w:hAnsi="Times New Roman" w:cs="Times New Roman"/>
          <w:sz w:val="20"/>
          <w:szCs w:val="20"/>
        </w:rPr>
        <w:t>on public education spending</w:t>
      </w:r>
      <w:r w:rsidR="00B00096" w:rsidRPr="00686C7B">
        <w:rPr>
          <w:rFonts w:ascii="Times New Roman" w:hAnsi="Times New Roman" w:cs="Times New Roman"/>
          <w:sz w:val="20"/>
          <w:szCs w:val="20"/>
        </w:rPr>
        <w:t xml:space="preserve"> can be computed as </w:t>
      </w:r>
    </w:p>
    <w:p w14:paraId="37B0970D" w14:textId="02765A54" w:rsidR="00FD618E" w:rsidRPr="00686C7B" w:rsidRDefault="00B00096" w:rsidP="00686C7B">
      <w:pPr>
        <w:spacing w:after="120" w:line="240" w:lineRule="auto"/>
        <w:ind w:left="-578"/>
        <w:jc w:val="both"/>
        <w:rPr>
          <w:rFonts w:ascii="Times New Roman" w:eastAsiaTheme="minorEastAsia" w:hAnsi="Times New Roman" w:cs="Times New Roman"/>
          <w:sz w:val="20"/>
          <w:szCs w:val="20"/>
        </w:rPr>
      </w:pPr>
      <m:oMath>
        <m:r>
          <w:rPr>
            <w:rFonts w:ascii="Cambria Math" w:hAnsi="Cambria Math" w:cs="Times New Roman"/>
            <w:sz w:val="20"/>
            <w:szCs w:val="20"/>
          </w:rPr>
          <m:t>-0.0335+</m:t>
        </m:r>
        <m:d>
          <m:dPr>
            <m:ctrlPr>
              <w:rPr>
                <w:rFonts w:ascii="Cambria Math" w:hAnsi="Cambria Math" w:cs="Times New Roman"/>
                <w:i/>
                <w:sz w:val="20"/>
                <w:szCs w:val="20"/>
              </w:rPr>
            </m:ctrlPr>
          </m:dPr>
          <m:e>
            <m:r>
              <w:rPr>
                <w:rFonts w:ascii="Cambria Math" w:hAnsi="Cambria Math" w:cs="Times New Roman"/>
                <w:sz w:val="20"/>
                <w:szCs w:val="20"/>
              </w:rPr>
              <m:t>-0.00782*0.0343</m:t>
            </m:r>
          </m:e>
        </m:d>
        <m:r>
          <w:rPr>
            <w:rFonts w:ascii="Cambria Math" w:hAnsi="Cambria Math" w:cs="Times New Roman"/>
            <w:sz w:val="20"/>
            <w:szCs w:val="20"/>
          </w:rPr>
          <m:t>≅-0.034</m:t>
        </m:r>
      </m:oMath>
      <w:r w:rsidRPr="00686C7B">
        <w:rPr>
          <w:rFonts w:ascii="Times New Roman" w:eastAsiaTheme="minorEastAsia" w:hAnsi="Times New Roman" w:cs="Times New Roman"/>
          <w:sz w:val="20"/>
          <w:szCs w:val="20"/>
        </w:rPr>
        <w:t xml:space="preserve"> </w:t>
      </w:r>
      <w:r w:rsidR="0085522B" w:rsidRPr="00686C7B">
        <w:rPr>
          <w:rFonts w:ascii="Times New Roman" w:eastAsiaTheme="minorEastAsia" w:hAnsi="Times New Roman" w:cs="Times New Roman"/>
          <w:sz w:val="20"/>
          <w:szCs w:val="20"/>
        </w:rPr>
        <w:t xml:space="preserve">                                                                            </w:t>
      </w:r>
      <w:r w:rsidR="00686C7B">
        <w:rPr>
          <w:rFonts w:ascii="Times New Roman" w:eastAsiaTheme="minorEastAsia" w:hAnsi="Times New Roman" w:cs="Times New Roman"/>
          <w:sz w:val="20"/>
          <w:szCs w:val="20"/>
        </w:rPr>
        <w:t xml:space="preserve">                          </w:t>
      </w:r>
      <w:r w:rsidR="007F6A43">
        <w:rPr>
          <w:rFonts w:ascii="Times New Roman" w:eastAsiaTheme="minorEastAsia" w:hAnsi="Times New Roman" w:cs="Times New Roman"/>
          <w:sz w:val="20"/>
          <w:szCs w:val="20"/>
        </w:rPr>
        <w:t xml:space="preserve">   </w:t>
      </w:r>
      <w:r w:rsidR="0085522B" w:rsidRPr="00686C7B">
        <w:rPr>
          <w:rFonts w:ascii="Times New Roman" w:eastAsiaTheme="minorEastAsia" w:hAnsi="Times New Roman" w:cs="Times New Roman"/>
          <w:sz w:val="20"/>
          <w:szCs w:val="20"/>
        </w:rPr>
        <w:t>(3)</w:t>
      </w:r>
    </w:p>
    <w:p w14:paraId="0C9F9103" w14:textId="6EDE6727" w:rsidR="00B00096" w:rsidRPr="00686C7B" w:rsidRDefault="00B00096" w:rsidP="00686C7B">
      <w:pPr>
        <w:spacing w:after="120" w:line="240" w:lineRule="auto"/>
        <w:ind w:left="-578"/>
        <w:jc w:val="both"/>
        <w:rPr>
          <w:rFonts w:ascii="Times New Roman" w:eastAsiaTheme="minorEastAsia" w:hAnsi="Times New Roman" w:cs="Times New Roman"/>
          <w:color w:val="FF0000"/>
          <w:sz w:val="20"/>
          <w:szCs w:val="20"/>
        </w:rPr>
      </w:pPr>
      <w:proofErr w:type="gramStart"/>
      <w:r w:rsidRPr="00686C7B">
        <w:rPr>
          <w:rFonts w:ascii="Times New Roman" w:eastAsiaTheme="minorEastAsia" w:hAnsi="Times New Roman" w:cs="Times New Roman"/>
          <w:sz w:val="20"/>
          <w:szCs w:val="20"/>
        </w:rPr>
        <w:t>where</w:t>
      </w:r>
      <w:proofErr w:type="gramEnd"/>
      <w:r w:rsidRPr="00686C7B">
        <w:rPr>
          <w:rFonts w:ascii="Times New Roman" w:eastAsiaTheme="minorEastAsia" w:hAnsi="Times New Roman" w:cs="Times New Roman"/>
          <w:sz w:val="20"/>
          <w:szCs w:val="20"/>
        </w:rPr>
        <w:t xml:space="preserve"> </w:t>
      </w:r>
      <m:oMath>
        <m:r>
          <w:rPr>
            <w:rFonts w:ascii="Cambria Math" w:hAnsi="Cambria Math" w:cs="Times New Roman"/>
            <w:sz w:val="20"/>
            <w:szCs w:val="20"/>
          </w:rPr>
          <m:t>0.0343</m:t>
        </m:r>
      </m:oMath>
      <w:r w:rsidRPr="00686C7B">
        <w:rPr>
          <w:rFonts w:ascii="Times New Roman" w:eastAsiaTheme="minorEastAsia" w:hAnsi="Times New Roman" w:cs="Times New Roman"/>
          <w:sz w:val="20"/>
          <w:szCs w:val="20"/>
        </w:rPr>
        <w:t xml:space="preserve"> is the sample mean of political stability</w:t>
      </w:r>
      <w:r w:rsidR="009E3870" w:rsidRPr="00686C7B">
        <w:rPr>
          <w:rFonts w:ascii="Times New Roman" w:eastAsiaTheme="minorEastAsia" w:hAnsi="Times New Roman" w:cs="Times New Roman"/>
          <w:sz w:val="20"/>
          <w:szCs w:val="20"/>
        </w:rPr>
        <w:t>-</w:t>
      </w:r>
      <w:r w:rsidRPr="00686C7B">
        <w:rPr>
          <w:rFonts w:ascii="Times New Roman" w:eastAsiaTheme="minorEastAsia" w:hAnsi="Times New Roman" w:cs="Times New Roman"/>
          <w:sz w:val="20"/>
          <w:szCs w:val="20"/>
        </w:rPr>
        <w:t>absence of violence.</w:t>
      </w:r>
      <w:r w:rsidR="000C7A38" w:rsidRPr="00686C7B">
        <w:rPr>
          <w:rFonts w:ascii="Times New Roman" w:eastAsiaTheme="minorEastAsia" w:hAnsi="Times New Roman" w:cs="Times New Roman"/>
          <w:sz w:val="20"/>
          <w:szCs w:val="20"/>
        </w:rPr>
        <w:t xml:space="preserve"> Working </w:t>
      </w:r>
      <w:r w:rsidRPr="00686C7B">
        <w:rPr>
          <w:rFonts w:ascii="Times New Roman" w:eastAsiaTheme="minorEastAsia" w:hAnsi="Times New Roman" w:cs="Times New Roman"/>
          <w:sz w:val="20"/>
          <w:szCs w:val="20"/>
        </w:rPr>
        <w:t xml:space="preserve">through the channel of rule of law the total impact of </w:t>
      </w:r>
      <w:r w:rsidR="008C03DE" w:rsidRPr="00686C7B">
        <w:rPr>
          <w:rFonts w:ascii="Times New Roman" w:eastAsiaTheme="minorEastAsia" w:hAnsi="Times New Roman" w:cs="Times New Roman"/>
          <w:sz w:val="20"/>
          <w:szCs w:val="20"/>
        </w:rPr>
        <w:t xml:space="preserve">a marginal increase in natural resource rents </w:t>
      </w:r>
      <w:r w:rsidRPr="00686C7B">
        <w:rPr>
          <w:rFonts w:ascii="Times New Roman" w:eastAsiaTheme="minorEastAsia" w:hAnsi="Times New Roman" w:cs="Times New Roman"/>
          <w:sz w:val="20"/>
          <w:szCs w:val="20"/>
        </w:rPr>
        <w:t xml:space="preserve">on public education spending can be computed as, </w:t>
      </w:r>
    </w:p>
    <w:p w14:paraId="608AD7E9" w14:textId="26DC9060" w:rsidR="00B00096" w:rsidRPr="00686C7B" w:rsidRDefault="00B00096" w:rsidP="00686C7B">
      <w:pPr>
        <w:spacing w:after="120" w:line="240" w:lineRule="auto"/>
        <w:ind w:left="-578"/>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-0.0361+</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-0.0165*0.0872</m:t>
            </m:r>
          </m:e>
        </m:d>
        <m:r>
          <w:rPr>
            <w:rFonts w:ascii="Cambria Math" w:eastAsiaTheme="minorEastAsia" w:hAnsi="Cambria Math" w:cs="Times New Roman"/>
            <w:sz w:val="20"/>
            <w:szCs w:val="20"/>
          </w:rPr>
          <m:t>≅-0.038</m:t>
        </m:r>
      </m:oMath>
      <w:r w:rsidRPr="00686C7B">
        <w:rPr>
          <w:rFonts w:ascii="Times New Roman" w:eastAsiaTheme="minorEastAsia" w:hAnsi="Times New Roman" w:cs="Times New Roman"/>
          <w:sz w:val="20"/>
          <w:szCs w:val="20"/>
        </w:rPr>
        <w:t xml:space="preserve"> </w:t>
      </w:r>
      <w:r w:rsidR="0085522B" w:rsidRPr="00686C7B">
        <w:rPr>
          <w:rFonts w:ascii="Times New Roman" w:eastAsiaTheme="minorEastAsia" w:hAnsi="Times New Roman" w:cs="Times New Roman"/>
          <w:sz w:val="20"/>
          <w:szCs w:val="20"/>
        </w:rPr>
        <w:t xml:space="preserve">                                                                                </w:t>
      </w:r>
      <w:r w:rsidR="00686C7B">
        <w:rPr>
          <w:rFonts w:ascii="Times New Roman" w:eastAsiaTheme="minorEastAsia" w:hAnsi="Times New Roman" w:cs="Times New Roman"/>
          <w:sz w:val="20"/>
          <w:szCs w:val="20"/>
        </w:rPr>
        <w:t xml:space="preserve">                        </w:t>
      </w:r>
      <w:r w:rsidR="007F6A43">
        <w:rPr>
          <w:rFonts w:ascii="Times New Roman" w:eastAsiaTheme="minorEastAsia" w:hAnsi="Times New Roman" w:cs="Times New Roman"/>
          <w:sz w:val="20"/>
          <w:szCs w:val="20"/>
        </w:rPr>
        <w:t xml:space="preserve">   </w:t>
      </w:r>
      <w:r w:rsidR="0085522B" w:rsidRPr="00686C7B">
        <w:rPr>
          <w:rFonts w:ascii="Times New Roman" w:eastAsiaTheme="minorEastAsia" w:hAnsi="Times New Roman" w:cs="Times New Roman"/>
          <w:sz w:val="20"/>
          <w:szCs w:val="20"/>
        </w:rPr>
        <w:t>(4)</w:t>
      </w:r>
    </w:p>
    <w:p w14:paraId="4989EBD9" w14:textId="2523B25C" w:rsidR="00A84835" w:rsidRPr="00686C7B" w:rsidRDefault="00B00096" w:rsidP="00686C7B">
      <w:pPr>
        <w:spacing w:after="120" w:line="240" w:lineRule="auto"/>
        <w:ind w:left="-578"/>
        <w:jc w:val="both"/>
        <w:rPr>
          <w:rFonts w:ascii="Times New Roman" w:eastAsiaTheme="minorEastAsia" w:hAnsi="Times New Roman" w:cs="Times New Roman"/>
          <w:sz w:val="20"/>
          <w:szCs w:val="20"/>
        </w:rPr>
      </w:pPr>
      <w:proofErr w:type="gramStart"/>
      <w:r w:rsidRPr="00686C7B">
        <w:rPr>
          <w:rFonts w:ascii="Times New Roman" w:eastAsiaTheme="minorEastAsia" w:hAnsi="Times New Roman" w:cs="Times New Roman"/>
          <w:sz w:val="20"/>
          <w:szCs w:val="20"/>
        </w:rPr>
        <w:t>where</w:t>
      </w:r>
      <w:proofErr w:type="gramEnd"/>
      <w:r w:rsidRPr="00686C7B">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0.0872</m:t>
        </m:r>
      </m:oMath>
      <w:r w:rsidRPr="00686C7B">
        <w:rPr>
          <w:rFonts w:ascii="Times New Roman" w:eastAsiaTheme="minorEastAsia" w:hAnsi="Times New Roman" w:cs="Times New Roman"/>
          <w:sz w:val="20"/>
          <w:szCs w:val="20"/>
        </w:rPr>
        <w:t xml:space="preserve"> is the sample mean of rule of law.</w:t>
      </w:r>
      <w:r w:rsidR="00A84835" w:rsidRPr="00686C7B">
        <w:rPr>
          <w:rFonts w:ascii="Times New Roman" w:eastAsiaTheme="minorEastAsia" w:hAnsi="Times New Roman" w:cs="Times New Roman"/>
          <w:sz w:val="20"/>
          <w:szCs w:val="20"/>
        </w:rPr>
        <w:t xml:space="preserve">  </w:t>
      </w:r>
    </w:p>
    <w:p w14:paraId="4B29B461" w14:textId="7F341873" w:rsidR="00A84835" w:rsidRPr="00686C7B" w:rsidRDefault="00A84835"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Political stability</w:t>
      </w:r>
      <w:r w:rsidR="009E3870" w:rsidRPr="00686C7B">
        <w:rPr>
          <w:rFonts w:ascii="Times New Roman" w:eastAsiaTheme="minorEastAsia" w:hAnsi="Times New Roman" w:cs="Times New Roman"/>
          <w:sz w:val="20"/>
          <w:szCs w:val="20"/>
        </w:rPr>
        <w:t>-</w:t>
      </w:r>
      <w:r w:rsidRPr="00686C7B">
        <w:rPr>
          <w:rFonts w:ascii="Times New Roman" w:eastAsiaTheme="minorEastAsia" w:hAnsi="Times New Roman" w:cs="Times New Roman"/>
          <w:sz w:val="20"/>
          <w:szCs w:val="20"/>
        </w:rPr>
        <w:t xml:space="preserve">absence of violence measures the possibility that a government is destabilized or even completely changed by unconstitutional and illegal activities. </w:t>
      </w:r>
      <w:r w:rsidR="00075305" w:rsidRPr="00686C7B">
        <w:rPr>
          <w:rFonts w:ascii="Times New Roman" w:eastAsiaTheme="minorEastAsia" w:hAnsi="Times New Roman" w:cs="Times New Roman"/>
          <w:sz w:val="20"/>
          <w:szCs w:val="20"/>
        </w:rPr>
        <w:t xml:space="preserve">Rule of law identifies the </w:t>
      </w:r>
      <w:r w:rsidR="00392087" w:rsidRPr="00686C7B">
        <w:rPr>
          <w:rFonts w:ascii="Times New Roman" w:eastAsiaTheme="minorEastAsia" w:hAnsi="Times New Roman" w:cs="Times New Roman"/>
          <w:sz w:val="20"/>
          <w:szCs w:val="20"/>
        </w:rPr>
        <w:t>structure</w:t>
      </w:r>
      <w:r w:rsidR="00075305" w:rsidRPr="00686C7B">
        <w:rPr>
          <w:rFonts w:ascii="Times New Roman" w:eastAsiaTheme="minorEastAsia" w:hAnsi="Times New Roman" w:cs="Times New Roman"/>
          <w:sz w:val="20"/>
          <w:szCs w:val="20"/>
        </w:rPr>
        <w:t xml:space="preserve"> of contract </w:t>
      </w:r>
      <w:r w:rsidR="00075305" w:rsidRPr="00686C7B">
        <w:rPr>
          <w:rFonts w:ascii="Times New Roman" w:eastAsiaTheme="minorEastAsia" w:hAnsi="Times New Roman" w:cs="Times New Roman"/>
          <w:sz w:val="20"/>
          <w:szCs w:val="20"/>
        </w:rPr>
        <w:lastRenderedPageBreak/>
        <w:t>enforcement</w:t>
      </w:r>
      <w:r w:rsidR="00392087" w:rsidRPr="00686C7B">
        <w:rPr>
          <w:rFonts w:ascii="Times New Roman" w:eastAsiaTheme="minorEastAsia" w:hAnsi="Times New Roman" w:cs="Times New Roman"/>
          <w:sz w:val="20"/>
          <w:szCs w:val="20"/>
        </w:rPr>
        <w:t xml:space="preserve"> rules</w:t>
      </w:r>
      <w:r w:rsidR="00075305" w:rsidRPr="00686C7B">
        <w:rPr>
          <w:rFonts w:ascii="Times New Roman" w:eastAsiaTheme="minorEastAsia" w:hAnsi="Times New Roman" w:cs="Times New Roman"/>
          <w:sz w:val="20"/>
          <w:szCs w:val="20"/>
        </w:rPr>
        <w:t xml:space="preserve">, property rights, actions of the police and courts. </w:t>
      </w:r>
      <w:r w:rsidRPr="00686C7B">
        <w:rPr>
          <w:rFonts w:ascii="Times New Roman" w:eastAsiaTheme="minorEastAsia" w:hAnsi="Times New Roman" w:cs="Times New Roman"/>
          <w:sz w:val="20"/>
          <w:szCs w:val="20"/>
        </w:rPr>
        <w:t xml:space="preserve">Based on the numerical results obtained above, on average </w:t>
      </w:r>
      <w:r w:rsidR="00F66610" w:rsidRPr="00686C7B">
        <w:rPr>
          <w:rFonts w:ascii="Times New Roman" w:eastAsiaTheme="minorEastAsia" w:hAnsi="Times New Roman" w:cs="Times New Roman"/>
          <w:sz w:val="20"/>
          <w:szCs w:val="20"/>
        </w:rPr>
        <w:t xml:space="preserve">the lobbying power of natural resource owners </w:t>
      </w:r>
      <w:r w:rsidRPr="00686C7B">
        <w:rPr>
          <w:rFonts w:ascii="Times New Roman" w:eastAsiaTheme="minorEastAsia" w:hAnsi="Times New Roman" w:cs="Times New Roman"/>
          <w:sz w:val="20"/>
          <w:szCs w:val="20"/>
        </w:rPr>
        <w:t>exerts a negative effect on public education spending. As the level</w:t>
      </w:r>
      <w:r w:rsidR="00075305" w:rsidRPr="00686C7B">
        <w:rPr>
          <w:rFonts w:ascii="Times New Roman" w:eastAsiaTheme="minorEastAsia" w:hAnsi="Times New Roman" w:cs="Times New Roman"/>
          <w:sz w:val="20"/>
          <w:szCs w:val="20"/>
        </w:rPr>
        <w:t>s</w:t>
      </w:r>
      <w:r w:rsidRPr="00686C7B">
        <w:rPr>
          <w:rFonts w:ascii="Times New Roman" w:eastAsiaTheme="minorEastAsia" w:hAnsi="Times New Roman" w:cs="Times New Roman"/>
          <w:sz w:val="20"/>
          <w:szCs w:val="20"/>
        </w:rPr>
        <w:t xml:space="preserve"> of political stability</w:t>
      </w:r>
      <w:r w:rsidR="00DF22AB" w:rsidRPr="00686C7B">
        <w:rPr>
          <w:rFonts w:ascii="Times New Roman" w:eastAsiaTheme="minorEastAsia" w:hAnsi="Times New Roman" w:cs="Times New Roman"/>
          <w:sz w:val="20"/>
          <w:szCs w:val="20"/>
        </w:rPr>
        <w:t>-</w:t>
      </w:r>
      <w:r w:rsidRPr="00686C7B">
        <w:rPr>
          <w:rFonts w:ascii="Times New Roman" w:eastAsiaTheme="minorEastAsia" w:hAnsi="Times New Roman" w:cs="Times New Roman"/>
          <w:sz w:val="20"/>
          <w:szCs w:val="20"/>
        </w:rPr>
        <w:t>absence of violence</w:t>
      </w:r>
      <w:r w:rsidR="00F66610" w:rsidRPr="00686C7B">
        <w:rPr>
          <w:rFonts w:ascii="Times New Roman" w:eastAsiaTheme="minorEastAsia" w:hAnsi="Times New Roman" w:cs="Times New Roman"/>
          <w:sz w:val="20"/>
          <w:szCs w:val="20"/>
        </w:rPr>
        <w:t xml:space="preserve"> </w:t>
      </w:r>
      <w:r w:rsidR="00075305" w:rsidRPr="00686C7B">
        <w:rPr>
          <w:rFonts w:ascii="Times New Roman" w:eastAsiaTheme="minorEastAsia" w:hAnsi="Times New Roman" w:cs="Times New Roman"/>
          <w:sz w:val="20"/>
          <w:szCs w:val="20"/>
        </w:rPr>
        <w:t xml:space="preserve">and rule of law </w:t>
      </w:r>
      <w:r w:rsidRPr="00686C7B">
        <w:rPr>
          <w:rFonts w:ascii="Times New Roman" w:eastAsiaTheme="minorEastAsia" w:hAnsi="Times New Roman" w:cs="Times New Roman"/>
          <w:sz w:val="20"/>
          <w:szCs w:val="20"/>
        </w:rPr>
        <w:t>improve</w:t>
      </w:r>
      <w:r w:rsidR="00075305"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 xml:space="preserve">this negative effect intensifies. </w:t>
      </w:r>
      <w:r w:rsidR="00F66610" w:rsidRPr="00686C7B">
        <w:rPr>
          <w:rFonts w:ascii="Times New Roman" w:eastAsiaTheme="minorEastAsia" w:hAnsi="Times New Roman" w:cs="Times New Roman"/>
          <w:sz w:val="20"/>
          <w:szCs w:val="20"/>
        </w:rPr>
        <w:t xml:space="preserve">A possible explanation for this result can be that, when lobbying power </w:t>
      </w:r>
      <w:r w:rsidRPr="00686C7B">
        <w:rPr>
          <w:rFonts w:ascii="Times New Roman" w:eastAsiaTheme="minorEastAsia" w:hAnsi="Times New Roman" w:cs="Times New Roman"/>
          <w:sz w:val="20"/>
          <w:szCs w:val="20"/>
        </w:rPr>
        <w:t xml:space="preserve">of </w:t>
      </w:r>
      <w:r w:rsidR="00075305" w:rsidRPr="00686C7B">
        <w:rPr>
          <w:rFonts w:ascii="Times New Roman" w:eastAsiaTheme="minorEastAsia" w:hAnsi="Times New Roman" w:cs="Times New Roman"/>
          <w:sz w:val="20"/>
          <w:szCs w:val="20"/>
        </w:rPr>
        <w:t>n</w:t>
      </w:r>
      <w:r w:rsidR="00FB6ED1" w:rsidRPr="00686C7B">
        <w:rPr>
          <w:rFonts w:ascii="Times New Roman" w:eastAsiaTheme="minorEastAsia" w:hAnsi="Times New Roman" w:cs="Times New Roman"/>
          <w:sz w:val="20"/>
          <w:szCs w:val="20"/>
        </w:rPr>
        <w:t>atural resource owners</w:t>
      </w:r>
      <w:r w:rsidRPr="00686C7B">
        <w:rPr>
          <w:rFonts w:ascii="Times New Roman" w:eastAsiaTheme="minorEastAsia" w:hAnsi="Times New Roman" w:cs="Times New Roman"/>
          <w:sz w:val="20"/>
          <w:szCs w:val="20"/>
        </w:rPr>
        <w:t xml:space="preserve"> increase</w:t>
      </w:r>
      <w:r w:rsidR="00075305" w:rsidRPr="00686C7B">
        <w:rPr>
          <w:rFonts w:ascii="Times New Roman" w:eastAsiaTheme="minorEastAsia" w:hAnsi="Times New Roman" w:cs="Times New Roman"/>
          <w:sz w:val="20"/>
          <w:szCs w:val="20"/>
        </w:rPr>
        <w:t>s</w:t>
      </w:r>
      <w:r w:rsidRPr="00686C7B">
        <w:rPr>
          <w:rFonts w:ascii="Times New Roman" w:eastAsiaTheme="minorEastAsia" w:hAnsi="Times New Roman" w:cs="Times New Roman"/>
          <w:sz w:val="20"/>
          <w:szCs w:val="20"/>
        </w:rPr>
        <w:t xml:space="preserve"> </w:t>
      </w:r>
      <w:r w:rsidR="00075305" w:rsidRPr="00686C7B">
        <w:rPr>
          <w:rFonts w:ascii="Times New Roman" w:eastAsiaTheme="minorEastAsia" w:hAnsi="Times New Roman" w:cs="Times New Roman"/>
          <w:sz w:val="20"/>
          <w:szCs w:val="20"/>
        </w:rPr>
        <w:t>with</w:t>
      </w:r>
      <w:r w:rsidRPr="00686C7B">
        <w:rPr>
          <w:rFonts w:ascii="Times New Roman" w:eastAsiaTheme="minorEastAsia" w:hAnsi="Times New Roman" w:cs="Times New Roman"/>
          <w:sz w:val="20"/>
          <w:szCs w:val="20"/>
        </w:rPr>
        <w:t xml:space="preserve">in a country with </w:t>
      </w:r>
      <w:r w:rsidR="00075305" w:rsidRPr="00686C7B">
        <w:rPr>
          <w:rFonts w:ascii="Times New Roman" w:eastAsiaTheme="minorEastAsia" w:hAnsi="Times New Roman" w:cs="Times New Roman"/>
          <w:sz w:val="20"/>
          <w:szCs w:val="20"/>
        </w:rPr>
        <w:t>high degrees of political st</w:t>
      </w:r>
      <w:r w:rsidR="00FB6ED1" w:rsidRPr="00686C7B">
        <w:rPr>
          <w:rFonts w:ascii="Times New Roman" w:eastAsiaTheme="minorEastAsia" w:hAnsi="Times New Roman" w:cs="Times New Roman"/>
          <w:sz w:val="20"/>
          <w:szCs w:val="20"/>
        </w:rPr>
        <w:t>ability</w:t>
      </w:r>
      <w:r w:rsidR="00DF22AB" w:rsidRPr="00686C7B">
        <w:rPr>
          <w:rFonts w:ascii="Times New Roman" w:eastAsiaTheme="minorEastAsia" w:hAnsi="Times New Roman" w:cs="Times New Roman"/>
          <w:sz w:val="20"/>
          <w:szCs w:val="20"/>
        </w:rPr>
        <w:t>-a</w:t>
      </w:r>
      <w:r w:rsidR="00FB6ED1" w:rsidRPr="00686C7B">
        <w:rPr>
          <w:rFonts w:ascii="Times New Roman" w:eastAsiaTheme="minorEastAsia" w:hAnsi="Times New Roman" w:cs="Times New Roman"/>
          <w:sz w:val="20"/>
          <w:szCs w:val="20"/>
        </w:rPr>
        <w:t>bsence of violence</w:t>
      </w:r>
      <w:r w:rsidR="00075305" w:rsidRPr="00686C7B">
        <w:rPr>
          <w:rFonts w:ascii="Times New Roman" w:eastAsiaTheme="minorEastAsia" w:hAnsi="Times New Roman" w:cs="Times New Roman"/>
          <w:sz w:val="20"/>
          <w:szCs w:val="20"/>
        </w:rPr>
        <w:t xml:space="preserve"> </w:t>
      </w:r>
      <w:r w:rsidR="00FB6ED1" w:rsidRPr="00686C7B">
        <w:rPr>
          <w:rFonts w:ascii="Times New Roman" w:eastAsiaTheme="minorEastAsia" w:hAnsi="Times New Roman" w:cs="Times New Roman"/>
          <w:sz w:val="20"/>
          <w:szCs w:val="20"/>
        </w:rPr>
        <w:t>as well as the</w:t>
      </w:r>
      <w:r w:rsidR="00075305" w:rsidRPr="00686C7B">
        <w:rPr>
          <w:rFonts w:ascii="Times New Roman" w:eastAsiaTheme="minorEastAsia" w:hAnsi="Times New Roman" w:cs="Times New Roman"/>
          <w:sz w:val="20"/>
          <w:szCs w:val="20"/>
        </w:rPr>
        <w:t xml:space="preserve"> rule of law</w:t>
      </w:r>
      <w:r w:rsidR="00FB6ED1" w:rsidRPr="00686C7B">
        <w:rPr>
          <w:rFonts w:ascii="Times New Roman" w:eastAsiaTheme="minorEastAsia" w:hAnsi="Times New Roman" w:cs="Times New Roman"/>
          <w:sz w:val="20"/>
          <w:szCs w:val="20"/>
        </w:rPr>
        <w:t>,</w:t>
      </w:r>
      <w:r w:rsidR="00DF22AB"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 xml:space="preserve">politically powerful </w:t>
      </w:r>
      <w:r w:rsidR="00075305" w:rsidRPr="00686C7B">
        <w:rPr>
          <w:rFonts w:ascii="Times New Roman" w:eastAsiaTheme="minorEastAsia" w:hAnsi="Times New Roman" w:cs="Times New Roman"/>
          <w:sz w:val="20"/>
          <w:szCs w:val="20"/>
        </w:rPr>
        <w:t>n</w:t>
      </w:r>
      <w:r w:rsidR="00FB6ED1" w:rsidRPr="00686C7B">
        <w:rPr>
          <w:rFonts w:ascii="Times New Roman" w:eastAsiaTheme="minorEastAsia" w:hAnsi="Times New Roman" w:cs="Times New Roman"/>
          <w:sz w:val="20"/>
          <w:szCs w:val="20"/>
        </w:rPr>
        <w:t>atural resource owners may</w:t>
      </w:r>
      <w:r w:rsidRPr="00686C7B">
        <w:rPr>
          <w:rFonts w:ascii="Times New Roman" w:eastAsiaTheme="minorEastAsia" w:hAnsi="Times New Roman" w:cs="Times New Roman"/>
          <w:sz w:val="20"/>
          <w:szCs w:val="20"/>
        </w:rPr>
        <w:t xml:space="preserve"> prefer to engage</w:t>
      </w:r>
      <w:r w:rsidR="00FB6ED1" w:rsidRPr="00686C7B">
        <w:rPr>
          <w:rFonts w:ascii="Times New Roman" w:eastAsiaTheme="minorEastAsia" w:hAnsi="Times New Roman" w:cs="Times New Roman"/>
          <w:sz w:val="20"/>
          <w:szCs w:val="20"/>
        </w:rPr>
        <w:t xml:space="preserve"> in </w:t>
      </w:r>
      <w:r w:rsidR="008C03DE" w:rsidRPr="00686C7B">
        <w:rPr>
          <w:rFonts w:ascii="Times New Roman" w:eastAsiaTheme="minorEastAsia" w:hAnsi="Times New Roman" w:cs="Times New Roman"/>
          <w:sz w:val="20"/>
          <w:szCs w:val="20"/>
        </w:rPr>
        <w:t xml:space="preserve">more </w:t>
      </w:r>
      <w:r w:rsidR="00FB6ED1" w:rsidRPr="00686C7B">
        <w:rPr>
          <w:rFonts w:ascii="Times New Roman" w:eastAsiaTheme="minorEastAsia" w:hAnsi="Times New Roman" w:cs="Times New Roman"/>
          <w:sz w:val="20"/>
          <w:szCs w:val="20"/>
        </w:rPr>
        <w:t>rent-seeking</w:t>
      </w:r>
      <w:r w:rsidR="008C03DE" w:rsidRPr="00686C7B">
        <w:rPr>
          <w:rFonts w:ascii="Times New Roman" w:eastAsiaTheme="minorEastAsia" w:hAnsi="Times New Roman" w:cs="Times New Roman"/>
          <w:sz w:val="20"/>
          <w:szCs w:val="20"/>
        </w:rPr>
        <w:t xml:space="preserve"> and kleptocracy </w:t>
      </w:r>
      <w:r w:rsidRPr="00686C7B">
        <w:rPr>
          <w:rFonts w:ascii="Times New Roman" w:eastAsiaTheme="minorEastAsia" w:hAnsi="Times New Roman" w:cs="Times New Roman"/>
          <w:sz w:val="20"/>
          <w:szCs w:val="20"/>
        </w:rPr>
        <w:t xml:space="preserve">activities instead of </w:t>
      </w:r>
      <w:r w:rsidR="008C03DE" w:rsidRPr="00686C7B">
        <w:rPr>
          <w:rFonts w:ascii="Times New Roman" w:eastAsiaTheme="minorEastAsia" w:hAnsi="Times New Roman" w:cs="Times New Roman"/>
          <w:sz w:val="20"/>
          <w:szCs w:val="20"/>
        </w:rPr>
        <w:t xml:space="preserve">supporting more </w:t>
      </w:r>
      <w:r w:rsidRPr="00686C7B">
        <w:rPr>
          <w:rFonts w:ascii="Times New Roman" w:eastAsiaTheme="minorEastAsia" w:hAnsi="Times New Roman" w:cs="Times New Roman"/>
          <w:sz w:val="20"/>
          <w:szCs w:val="20"/>
        </w:rPr>
        <w:t>public education for human capital accumulation</w:t>
      </w:r>
      <w:r w:rsidR="00F66610" w:rsidRPr="00686C7B">
        <w:rPr>
          <w:rFonts w:ascii="Times New Roman" w:eastAsiaTheme="minorEastAsia" w:hAnsi="Times New Roman" w:cs="Times New Roman"/>
          <w:sz w:val="20"/>
          <w:szCs w:val="20"/>
        </w:rPr>
        <w:t>.</w:t>
      </w:r>
      <w:r w:rsidR="008C03DE"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 xml:space="preserve">On the other hand, </w:t>
      </w:r>
      <w:r w:rsidR="00075305" w:rsidRPr="00686C7B">
        <w:rPr>
          <w:rFonts w:ascii="Times New Roman" w:eastAsiaTheme="minorEastAsia" w:hAnsi="Times New Roman" w:cs="Times New Roman"/>
          <w:sz w:val="20"/>
          <w:szCs w:val="20"/>
        </w:rPr>
        <w:t>with</w:t>
      </w:r>
      <w:r w:rsidRPr="00686C7B">
        <w:rPr>
          <w:rFonts w:ascii="Times New Roman" w:eastAsiaTheme="minorEastAsia" w:hAnsi="Times New Roman" w:cs="Times New Roman"/>
          <w:sz w:val="20"/>
          <w:szCs w:val="20"/>
        </w:rPr>
        <w:t>in a country</w:t>
      </w:r>
      <w:r w:rsidR="00075305"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 xml:space="preserve">where political stability is weak and there is a high risk of </w:t>
      </w:r>
      <w:r w:rsidR="00F66610" w:rsidRPr="00686C7B">
        <w:rPr>
          <w:rFonts w:ascii="Times New Roman" w:eastAsiaTheme="minorEastAsia" w:hAnsi="Times New Roman" w:cs="Times New Roman"/>
          <w:sz w:val="20"/>
          <w:szCs w:val="20"/>
        </w:rPr>
        <w:t>illegal</w:t>
      </w:r>
      <w:r w:rsidRPr="00686C7B">
        <w:rPr>
          <w:rFonts w:ascii="Times New Roman" w:eastAsiaTheme="minorEastAsia" w:hAnsi="Times New Roman" w:cs="Times New Roman"/>
          <w:sz w:val="20"/>
          <w:szCs w:val="20"/>
        </w:rPr>
        <w:t xml:space="preserve"> activities, when </w:t>
      </w:r>
      <w:r w:rsidR="00075305" w:rsidRPr="00686C7B">
        <w:rPr>
          <w:rFonts w:ascii="Times New Roman" w:eastAsiaTheme="minorEastAsia" w:hAnsi="Times New Roman" w:cs="Times New Roman"/>
          <w:sz w:val="20"/>
          <w:szCs w:val="20"/>
        </w:rPr>
        <w:t>n</w:t>
      </w:r>
      <w:r w:rsidRPr="00686C7B">
        <w:rPr>
          <w:rFonts w:ascii="Times New Roman" w:eastAsiaTheme="minorEastAsia" w:hAnsi="Times New Roman" w:cs="Times New Roman"/>
          <w:sz w:val="20"/>
          <w:szCs w:val="20"/>
        </w:rPr>
        <w:t>atural resource owners’</w:t>
      </w:r>
      <w:r w:rsidR="00F66610" w:rsidRPr="00686C7B">
        <w:rPr>
          <w:rFonts w:ascii="Times New Roman" w:eastAsiaTheme="minorEastAsia" w:hAnsi="Times New Roman" w:cs="Times New Roman"/>
          <w:sz w:val="20"/>
          <w:szCs w:val="20"/>
        </w:rPr>
        <w:t xml:space="preserve"> lobbying power </w:t>
      </w:r>
      <w:r w:rsidRPr="00686C7B">
        <w:rPr>
          <w:rFonts w:ascii="Times New Roman" w:eastAsiaTheme="minorEastAsia" w:hAnsi="Times New Roman" w:cs="Times New Roman"/>
          <w:sz w:val="20"/>
          <w:szCs w:val="20"/>
        </w:rPr>
        <w:t>increases, if they face</w:t>
      </w:r>
      <w:r w:rsidR="00DF22AB"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a</w:t>
      </w:r>
      <w:r w:rsidR="00DF22AB"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threat from opposing groups</w:t>
      </w:r>
      <w:r w:rsidR="00DF22AB" w:rsidRPr="00686C7B">
        <w:rPr>
          <w:rFonts w:ascii="Times New Roman" w:eastAsiaTheme="minorEastAsia" w:hAnsi="Times New Roman" w:cs="Times New Roman"/>
          <w:sz w:val="20"/>
          <w:szCs w:val="20"/>
        </w:rPr>
        <w:t xml:space="preserve">, for example </w:t>
      </w:r>
      <w:r w:rsidRPr="00686C7B">
        <w:rPr>
          <w:rFonts w:ascii="Times New Roman" w:eastAsiaTheme="minorEastAsia" w:hAnsi="Times New Roman" w:cs="Times New Roman"/>
          <w:sz w:val="20"/>
          <w:szCs w:val="20"/>
        </w:rPr>
        <w:t>with a demand fo</w:t>
      </w:r>
      <w:r w:rsidR="00FB6ED1" w:rsidRPr="00686C7B">
        <w:rPr>
          <w:rFonts w:ascii="Times New Roman" w:eastAsiaTheme="minorEastAsia" w:hAnsi="Times New Roman" w:cs="Times New Roman"/>
          <w:sz w:val="20"/>
          <w:szCs w:val="20"/>
        </w:rPr>
        <w:t>r a more educated labor force, n</w:t>
      </w:r>
      <w:r w:rsidRPr="00686C7B">
        <w:rPr>
          <w:rFonts w:ascii="Times New Roman" w:eastAsiaTheme="minorEastAsia" w:hAnsi="Times New Roman" w:cs="Times New Roman"/>
          <w:sz w:val="20"/>
          <w:szCs w:val="20"/>
        </w:rPr>
        <w:t>atur</w:t>
      </w:r>
      <w:r w:rsidR="00FB6ED1" w:rsidRPr="00686C7B">
        <w:rPr>
          <w:rFonts w:ascii="Times New Roman" w:eastAsiaTheme="minorEastAsia" w:hAnsi="Times New Roman" w:cs="Times New Roman"/>
          <w:sz w:val="20"/>
          <w:szCs w:val="20"/>
        </w:rPr>
        <w:t>al resource owners, facing the</w:t>
      </w:r>
      <w:r w:rsidR="00F06D31" w:rsidRPr="00686C7B">
        <w:rPr>
          <w:rFonts w:ascii="Times New Roman" w:eastAsiaTheme="minorEastAsia" w:hAnsi="Times New Roman" w:cs="Times New Roman"/>
          <w:sz w:val="20"/>
          <w:szCs w:val="20"/>
        </w:rPr>
        <w:t xml:space="preserve"> possibility of </w:t>
      </w:r>
      <w:r w:rsidR="00FB6ED1" w:rsidRPr="00686C7B">
        <w:rPr>
          <w:rFonts w:ascii="Times New Roman" w:eastAsiaTheme="minorEastAsia" w:hAnsi="Times New Roman" w:cs="Times New Roman"/>
          <w:sz w:val="20"/>
          <w:szCs w:val="20"/>
        </w:rPr>
        <w:t>los</w:t>
      </w:r>
      <w:r w:rsidR="00F06D31" w:rsidRPr="00686C7B">
        <w:rPr>
          <w:rFonts w:ascii="Times New Roman" w:eastAsiaTheme="minorEastAsia" w:hAnsi="Times New Roman" w:cs="Times New Roman"/>
          <w:sz w:val="20"/>
          <w:szCs w:val="20"/>
        </w:rPr>
        <w:t xml:space="preserve">ing </w:t>
      </w:r>
      <w:r w:rsidR="00FB6ED1" w:rsidRPr="00686C7B">
        <w:rPr>
          <w:rFonts w:ascii="Times New Roman" w:eastAsiaTheme="minorEastAsia" w:hAnsi="Times New Roman" w:cs="Times New Roman"/>
          <w:sz w:val="20"/>
          <w:szCs w:val="20"/>
        </w:rPr>
        <w:t xml:space="preserve">their political </w:t>
      </w:r>
      <w:r w:rsidR="008C03DE" w:rsidRPr="00686C7B">
        <w:rPr>
          <w:rFonts w:ascii="Times New Roman" w:eastAsiaTheme="minorEastAsia" w:hAnsi="Times New Roman" w:cs="Times New Roman"/>
          <w:sz w:val="20"/>
          <w:szCs w:val="20"/>
        </w:rPr>
        <w:t>influence and lobbying power</w:t>
      </w:r>
      <w:r w:rsidR="00FB6ED1" w:rsidRPr="00686C7B">
        <w:rPr>
          <w:rFonts w:ascii="Times New Roman" w:eastAsiaTheme="minorEastAsia" w:hAnsi="Times New Roman" w:cs="Times New Roman"/>
          <w:sz w:val="20"/>
          <w:szCs w:val="20"/>
        </w:rPr>
        <w:t>, may</w:t>
      </w:r>
      <w:r w:rsidRPr="00686C7B">
        <w:rPr>
          <w:rFonts w:ascii="Times New Roman" w:eastAsiaTheme="minorEastAsia" w:hAnsi="Times New Roman" w:cs="Times New Roman"/>
          <w:sz w:val="20"/>
          <w:szCs w:val="20"/>
        </w:rPr>
        <w:t xml:space="preserve"> </w:t>
      </w:r>
      <w:r w:rsidR="00F66610" w:rsidRPr="00686C7B">
        <w:rPr>
          <w:rFonts w:ascii="Times New Roman" w:eastAsiaTheme="minorEastAsia" w:hAnsi="Times New Roman" w:cs="Times New Roman"/>
          <w:sz w:val="20"/>
          <w:szCs w:val="20"/>
        </w:rPr>
        <w:t xml:space="preserve">prefer to </w:t>
      </w:r>
      <w:r w:rsidR="008C03DE" w:rsidRPr="00686C7B">
        <w:rPr>
          <w:rFonts w:ascii="Times New Roman" w:eastAsiaTheme="minorEastAsia" w:hAnsi="Times New Roman" w:cs="Times New Roman"/>
          <w:sz w:val="20"/>
          <w:szCs w:val="20"/>
        </w:rPr>
        <w:t xml:space="preserve">support more </w:t>
      </w:r>
      <w:r w:rsidRPr="00686C7B">
        <w:rPr>
          <w:rFonts w:ascii="Times New Roman" w:eastAsiaTheme="minorEastAsia" w:hAnsi="Times New Roman" w:cs="Times New Roman"/>
          <w:sz w:val="20"/>
          <w:szCs w:val="20"/>
        </w:rPr>
        <w:t>public education</w:t>
      </w:r>
      <w:r w:rsidR="00DF22AB" w:rsidRPr="00686C7B">
        <w:rPr>
          <w:rFonts w:ascii="Times New Roman" w:eastAsiaTheme="minorEastAsia" w:hAnsi="Times New Roman" w:cs="Times New Roman"/>
          <w:sz w:val="20"/>
          <w:szCs w:val="20"/>
        </w:rPr>
        <w:t xml:space="preserve"> as a concession</w:t>
      </w:r>
      <w:r w:rsidRPr="00686C7B">
        <w:rPr>
          <w:rFonts w:ascii="Times New Roman" w:eastAsiaTheme="minorEastAsia" w:hAnsi="Times New Roman" w:cs="Times New Roman"/>
          <w:sz w:val="20"/>
          <w:szCs w:val="20"/>
        </w:rPr>
        <w:t>.</w:t>
      </w:r>
      <w:r w:rsidR="00943138" w:rsidRPr="00686C7B">
        <w:rPr>
          <w:rFonts w:ascii="Times New Roman" w:eastAsiaTheme="minorEastAsia" w:hAnsi="Times New Roman" w:cs="Times New Roman"/>
          <w:sz w:val="20"/>
          <w:szCs w:val="20"/>
        </w:rPr>
        <w:t xml:space="preserve"> </w:t>
      </w:r>
    </w:p>
    <w:p w14:paraId="4DBAAE54" w14:textId="77777777" w:rsidR="004B68BB" w:rsidRPr="00686C7B" w:rsidRDefault="009740BF"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hAnsi="Times New Roman" w:cs="Times New Roman"/>
          <w:sz w:val="20"/>
          <w:szCs w:val="20"/>
        </w:rPr>
        <w:t xml:space="preserve">Manufacture export, </w:t>
      </w:r>
      <w:r w:rsidRPr="00686C7B">
        <w:rPr>
          <w:rFonts w:ascii="Times New Roman" w:eastAsiaTheme="minorEastAsia" w:hAnsi="Times New Roman" w:cs="Times New Roman"/>
          <w:sz w:val="20"/>
          <w:szCs w:val="20"/>
        </w:rPr>
        <w:t>proxy variable for</w:t>
      </w:r>
      <w:r w:rsidR="00F66610" w:rsidRPr="00686C7B">
        <w:rPr>
          <w:rFonts w:ascii="Times New Roman" w:eastAsiaTheme="minorEastAsia" w:hAnsi="Times New Roman" w:cs="Times New Roman"/>
          <w:sz w:val="20"/>
          <w:szCs w:val="20"/>
        </w:rPr>
        <w:t xml:space="preserve"> </w:t>
      </w:r>
      <w:r w:rsidR="00407D51" w:rsidRPr="00686C7B">
        <w:rPr>
          <w:rFonts w:ascii="Times New Roman" w:eastAsiaTheme="minorEastAsia" w:hAnsi="Times New Roman" w:cs="Times New Roman"/>
          <w:sz w:val="20"/>
          <w:szCs w:val="20"/>
        </w:rPr>
        <w:t xml:space="preserve">the </w:t>
      </w:r>
      <w:r w:rsidR="00F66610" w:rsidRPr="00686C7B">
        <w:rPr>
          <w:rFonts w:ascii="Times New Roman" w:eastAsiaTheme="minorEastAsia" w:hAnsi="Times New Roman" w:cs="Times New Roman"/>
          <w:sz w:val="20"/>
          <w:szCs w:val="20"/>
        </w:rPr>
        <w:t xml:space="preserve">lobbying power </w:t>
      </w:r>
      <w:r w:rsidRPr="00686C7B">
        <w:rPr>
          <w:rFonts w:ascii="Times New Roman" w:eastAsiaTheme="minorEastAsia" w:hAnsi="Times New Roman" w:cs="Times New Roman"/>
          <w:sz w:val="20"/>
          <w:szCs w:val="20"/>
        </w:rPr>
        <w:t>of</w:t>
      </w:r>
      <w:r w:rsidR="00407D51"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manufacturers,</w:t>
      </w:r>
      <w:r w:rsidRPr="00686C7B">
        <w:rPr>
          <w:rFonts w:ascii="Times New Roman" w:hAnsi="Times New Roman" w:cs="Times New Roman"/>
          <w:sz w:val="20"/>
          <w:szCs w:val="20"/>
        </w:rPr>
        <w:t xml:space="preserve"> exerts a direct positive and significant effect</w:t>
      </w:r>
      <w:r w:rsidR="008C03DE" w:rsidRPr="00686C7B">
        <w:rPr>
          <w:rFonts w:ascii="Times New Roman" w:hAnsi="Times New Roman" w:cs="Times New Roman"/>
          <w:sz w:val="20"/>
          <w:szCs w:val="20"/>
        </w:rPr>
        <w:t xml:space="preserve"> </w:t>
      </w:r>
      <w:r w:rsidR="00ED28CB" w:rsidRPr="00686C7B">
        <w:rPr>
          <w:rFonts w:ascii="Times New Roman" w:eastAsiaTheme="minorEastAsia" w:hAnsi="Times New Roman" w:cs="Times New Roman"/>
          <w:sz w:val="20"/>
          <w:szCs w:val="20"/>
        </w:rPr>
        <w:t xml:space="preserve">on public education spending. </w:t>
      </w:r>
      <w:r w:rsidR="00DF22AB" w:rsidRPr="00686C7B">
        <w:rPr>
          <w:rFonts w:ascii="Times New Roman" w:eastAsiaTheme="minorEastAsia" w:hAnsi="Times New Roman" w:cs="Times New Roman"/>
          <w:sz w:val="20"/>
          <w:szCs w:val="20"/>
        </w:rPr>
        <w:t>The economic intuition works in the way that s</w:t>
      </w:r>
      <w:r w:rsidR="00ED28CB" w:rsidRPr="00686C7B">
        <w:rPr>
          <w:rFonts w:ascii="Times New Roman" w:eastAsiaTheme="minorEastAsia" w:hAnsi="Times New Roman" w:cs="Times New Roman"/>
          <w:sz w:val="20"/>
          <w:szCs w:val="20"/>
        </w:rPr>
        <w:t>ince skilled workers are</w:t>
      </w:r>
      <w:r w:rsidRPr="00686C7B">
        <w:rPr>
          <w:rFonts w:ascii="Times New Roman" w:eastAsiaTheme="minorEastAsia" w:hAnsi="Times New Roman" w:cs="Times New Roman"/>
          <w:sz w:val="20"/>
          <w:szCs w:val="20"/>
        </w:rPr>
        <w:t xml:space="preserve"> needed </w:t>
      </w:r>
      <w:r w:rsidR="00ED28CB" w:rsidRPr="00686C7B">
        <w:rPr>
          <w:rFonts w:ascii="Times New Roman" w:eastAsiaTheme="minorEastAsia" w:hAnsi="Times New Roman" w:cs="Times New Roman"/>
          <w:sz w:val="20"/>
          <w:szCs w:val="20"/>
        </w:rPr>
        <w:t xml:space="preserve">in </w:t>
      </w:r>
      <w:r w:rsidRPr="00686C7B">
        <w:rPr>
          <w:rFonts w:ascii="Times New Roman" w:eastAsiaTheme="minorEastAsia" w:hAnsi="Times New Roman" w:cs="Times New Roman"/>
          <w:sz w:val="20"/>
          <w:szCs w:val="20"/>
        </w:rPr>
        <w:t xml:space="preserve">the </w:t>
      </w:r>
      <w:r w:rsidR="00ED28CB" w:rsidRPr="00686C7B">
        <w:rPr>
          <w:rFonts w:ascii="Times New Roman" w:eastAsiaTheme="minorEastAsia" w:hAnsi="Times New Roman" w:cs="Times New Roman"/>
          <w:sz w:val="20"/>
          <w:szCs w:val="20"/>
        </w:rPr>
        <w:t>industrial sectors</w:t>
      </w:r>
      <w:r w:rsidRPr="00686C7B">
        <w:rPr>
          <w:rFonts w:ascii="Times New Roman" w:eastAsiaTheme="minorEastAsia" w:hAnsi="Times New Roman" w:cs="Times New Roman"/>
          <w:sz w:val="20"/>
          <w:szCs w:val="20"/>
        </w:rPr>
        <w:t xml:space="preserve">, </w:t>
      </w:r>
      <w:r w:rsidR="00ED28CB" w:rsidRPr="00686C7B">
        <w:rPr>
          <w:rFonts w:ascii="Times New Roman" w:eastAsiaTheme="minorEastAsia" w:hAnsi="Times New Roman" w:cs="Times New Roman"/>
          <w:sz w:val="20"/>
          <w:szCs w:val="20"/>
        </w:rPr>
        <w:t xml:space="preserve">when the manufacturers have more </w:t>
      </w:r>
      <w:r w:rsidR="00F66610" w:rsidRPr="00686C7B">
        <w:rPr>
          <w:rFonts w:ascii="Times New Roman" w:eastAsiaTheme="minorEastAsia" w:hAnsi="Times New Roman" w:cs="Times New Roman"/>
          <w:sz w:val="20"/>
          <w:szCs w:val="20"/>
        </w:rPr>
        <w:t xml:space="preserve">lobbying power </w:t>
      </w:r>
      <w:r w:rsidR="00ED28CB" w:rsidRPr="00686C7B">
        <w:rPr>
          <w:rFonts w:ascii="Times New Roman" w:eastAsiaTheme="minorEastAsia" w:hAnsi="Times New Roman" w:cs="Times New Roman"/>
          <w:sz w:val="20"/>
          <w:szCs w:val="20"/>
        </w:rPr>
        <w:t xml:space="preserve">they prefer to </w:t>
      </w:r>
      <w:r w:rsidR="008C03DE" w:rsidRPr="00686C7B">
        <w:rPr>
          <w:rFonts w:ascii="Times New Roman" w:eastAsiaTheme="minorEastAsia" w:hAnsi="Times New Roman" w:cs="Times New Roman"/>
          <w:sz w:val="20"/>
          <w:szCs w:val="20"/>
        </w:rPr>
        <w:t>support</w:t>
      </w:r>
      <w:r w:rsidR="00ED28CB" w:rsidRPr="00686C7B">
        <w:rPr>
          <w:rFonts w:ascii="Times New Roman" w:eastAsiaTheme="minorEastAsia" w:hAnsi="Times New Roman" w:cs="Times New Roman"/>
          <w:sz w:val="20"/>
          <w:szCs w:val="20"/>
        </w:rPr>
        <w:t xml:space="preserve"> more</w:t>
      </w:r>
      <w:r w:rsidR="008C03DE" w:rsidRPr="00686C7B">
        <w:rPr>
          <w:rFonts w:ascii="Times New Roman" w:eastAsiaTheme="minorEastAsia" w:hAnsi="Times New Roman" w:cs="Times New Roman"/>
          <w:sz w:val="20"/>
          <w:szCs w:val="20"/>
        </w:rPr>
        <w:t xml:space="preserve"> </w:t>
      </w:r>
      <w:r w:rsidR="00ED28CB" w:rsidRPr="00686C7B">
        <w:rPr>
          <w:rFonts w:ascii="Times New Roman" w:eastAsiaTheme="minorEastAsia" w:hAnsi="Times New Roman" w:cs="Times New Roman"/>
          <w:sz w:val="20"/>
          <w:szCs w:val="20"/>
        </w:rPr>
        <w:t>human capital accumulation</w:t>
      </w:r>
      <w:r w:rsidR="008C03DE" w:rsidRPr="00686C7B">
        <w:rPr>
          <w:rFonts w:ascii="Times New Roman" w:eastAsiaTheme="minorEastAsia" w:hAnsi="Times New Roman" w:cs="Times New Roman"/>
          <w:sz w:val="20"/>
          <w:szCs w:val="20"/>
        </w:rPr>
        <w:t xml:space="preserve"> through public education spending</w:t>
      </w:r>
      <w:r w:rsidR="00ED28CB" w:rsidRPr="00686C7B">
        <w:rPr>
          <w:rFonts w:ascii="Times New Roman" w:eastAsiaTheme="minorEastAsia" w:hAnsi="Times New Roman" w:cs="Times New Roman"/>
          <w:sz w:val="20"/>
          <w:szCs w:val="20"/>
        </w:rPr>
        <w:t>.</w:t>
      </w:r>
      <w:r w:rsidR="004B68BB" w:rsidRPr="00686C7B">
        <w:rPr>
          <w:rFonts w:ascii="Times New Roman" w:eastAsiaTheme="minorEastAsia" w:hAnsi="Times New Roman" w:cs="Times New Roman"/>
          <w:sz w:val="20"/>
          <w:szCs w:val="20"/>
        </w:rPr>
        <w:t xml:space="preserve"> The total effect of a marginal increase in resource rent implied by equation (1) is </w:t>
      </w:r>
    </w:p>
    <w:p w14:paraId="7C96C175" w14:textId="78577106" w:rsidR="004B68BB" w:rsidRPr="00686C7B" w:rsidRDefault="00E5123A" w:rsidP="00686C7B">
      <w:pPr>
        <w:spacing w:after="120" w:line="240" w:lineRule="auto"/>
        <w:ind w:left="-578"/>
        <w:jc w:val="both"/>
        <w:rPr>
          <w:rFonts w:ascii="Times New Roman" w:eastAsiaTheme="minorEastAsia" w:hAnsi="Times New Roman" w:cs="Times New Roman"/>
          <w:sz w:val="20"/>
          <w:szCs w:val="20"/>
        </w:rPr>
      </w:p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 public education spending</m:t>
            </m:r>
          </m:num>
          <m:den>
            <m:r>
              <w:rPr>
                <w:rFonts w:ascii="Cambria Math" w:eastAsiaTheme="minorEastAsia" w:hAnsi="Cambria Math" w:cs="Times New Roman"/>
                <w:sz w:val="20"/>
                <w:szCs w:val="20"/>
              </w:rPr>
              <m:t>∂ resource rent</m:t>
            </m:r>
          </m:den>
        </m:f>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β</m:t>
                </m:r>
              </m:e>
            </m:acc>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β</m:t>
                </m:r>
              </m:e>
            </m:acc>
          </m:e>
          <m:sub>
            <m:r>
              <w:rPr>
                <w:rFonts w:ascii="Cambria Math" w:eastAsiaTheme="minorEastAsia" w:hAnsi="Cambria Math" w:cs="Times New Roman"/>
                <w:sz w:val="20"/>
                <w:szCs w:val="20"/>
              </w:rPr>
              <m:t>5</m:t>
            </m:r>
          </m:sub>
        </m:sSub>
        <m:r>
          <w:rPr>
            <w:rFonts w:ascii="Cambria Math" w:eastAsiaTheme="minorEastAsia" w:hAnsi="Cambria Math" w:cs="Times New Roman"/>
            <w:sz w:val="20"/>
            <w:szCs w:val="20"/>
          </w:rPr>
          <m:t>governance indicator</m:t>
        </m:r>
      </m:oMath>
      <w:r w:rsidR="004B68BB" w:rsidRPr="00686C7B">
        <w:rPr>
          <w:rFonts w:ascii="Times New Roman" w:eastAsiaTheme="minorEastAsia" w:hAnsi="Times New Roman" w:cs="Times New Roman"/>
          <w:sz w:val="20"/>
          <w:szCs w:val="20"/>
        </w:rPr>
        <w:t xml:space="preserve">                                                     </w:t>
      </w:r>
      <w:r w:rsidR="00686C7B">
        <w:rPr>
          <w:rFonts w:ascii="Times New Roman" w:eastAsiaTheme="minorEastAsia" w:hAnsi="Times New Roman" w:cs="Times New Roman"/>
          <w:sz w:val="20"/>
          <w:szCs w:val="20"/>
        </w:rPr>
        <w:t xml:space="preserve">                              (</w:t>
      </w:r>
      <w:r w:rsidR="004B68BB" w:rsidRPr="00686C7B">
        <w:rPr>
          <w:rFonts w:ascii="Times New Roman" w:eastAsiaTheme="minorEastAsia" w:hAnsi="Times New Roman" w:cs="Times New Roman"/>
          <w:sz w:val="20"/>
          <w:szCs w:val="20"/>
        </w:rPr>
        <w:t xml:space="preserve">5) </w:t>
      </w:r>
    </w:p>
    <w:p w14:paraId="0802D4F8" w14:textId="59B3CCD3" w:rsidR="004B68BB" w:rsidRPr="00686C7B" w:rsidRDefault="004B68BB" w:rsidP="00686C7B">
      <w:pPr>
        <w:spacing w:after="120" w:line="240" w:lineRule="auto"/>
        <w:ind w:left="-578"/>
        <w:jc w:val="both"/>
        <w:rPr>
          <w:rFonts w:ascii="Times New Roman" w:eastAsiaTheme="minorEastAsia" w:hAnsi="Times New Roman" w:cs="Times New Roman"/>
          <w:color w:val="FF0000"/>
          <w:sz w:val="20"/>
          <w:szCs w:val="20"/>
        </w:rPr>
      </w:pPr>
      <w:r w:rsidRPr="00686C7B">
        <w:rPr>
          <w:rFonts w:ascii="Times New Roman" w:eastAsiaTheme="minorEastAsia" w:hAnsi="Times New Roman" w:cs="Times New Roman"/>
          <w:sz w:val="20"/>
          <w:szCs w:val="20"/>
        </w:rPr>
        <w:t xml:space="preserve">Working through the channel of political stability-absence of violence the total impact of a marginal increase in manufacture exports on public education spending can be computed as, </w:t>
      </w:r>
    </w:p>
    <w:p w14:paraId="6FB0EADC" w14:textId="59D6A2F8" w:rsidR="004B68BB" w:rsidRPr="00686C7B" w:rsidRDefault="004B68BB" w:rsidP="00686C7B">
      <w:pPr>
        <w:spacing w:after="120" w:line="240" w:lineRule="auto"/>
        <w:ind w:left="-578"/>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0.0134+</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0.0105*0.0343</m:t>
            </m:r>
          </m:e>
        </m:d>
        <m:r>
          <w:rPr>
            <w:rFonts w:ascii="Cambria Math" w:eastAsiaTheme="minorEastAsia" w:hAnsi="Cambria Math" w:cs="Times New Roman"/>
            <w:sz w:val="20"/>
            <w:szCs w:val="20"/>
          </w:rPr>
          <m:t>≅0.014</m:t>
        </m:r>
      </m:oMath>
      <w:r w:rsidRPr="00686C7B">
        <w:rPr>
          <w:rFonts w:ascii="Times New Roman" w:eastAsiaTheme="minorEastAsia" w:hAnsi="Times New Roman" w:cs="Times New Roman"/>
          <w:sz w:val="20"/>
          <w:szCs w:val="20"/>
        </w:rPr>
        <w:t xml:space="preserve">                                                                                 </w:t>
      </w:r>
      <w:r w:rsidR="00472A00" w:rsidRPr="00686C7B">
        <w:rPr>
          <w:rFonts w:ascii="Times New Roman" w:eastAsiaTheme="minorEastAsia" w:hAnsi="Times New Roman" w:cs="Times New Roman"/>
          <w:sz w:val="20"/>
          <w:szCs w:val="20"/>
        </w:rPr>
        <w:t xml:space="preserve">       </w:t>
      </w:r>
      <w:r w:rsid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(6)</w:t>
      </w:r>
    </w:p>
    <w:p w14:paraId="19F9D132" w14:textId="64152160" w:rsidR="009A245C" w:rsidRPr="00686C7B" w:rsidRDefault="004B68BB" w:rsidP="00686C7B">
      <w:pPr>
        <w:spacing w:after="120" w:line="240" w:lineRule="auto"/>
        <w:ind w:left="-578"/>
        <w:jc w:val="both"/>
        <w:rPr>
          <w:rFonts w:ascii="Times New Roman" w:eastAsiaTheme="minorEastAsia" w:hAnsi="Times New Roman" w:cs="Times New Roman"/>
          <w:sz w:val="20"/>
          <w:szCs w:val="20"/>
        </w:rPr>
      </w:pPr>
      <w:proofErr w:type="gramStart"/>
      <w:r w:rsidRPr="00686C7B">
        <w:rPr>
          <w:rFonts w:ascii="Times New Roman" w:eastAsiaTheme="minorEastAsia" w:hAnsi="Times New Roman" w:cs="Times New Roman"/>
          <w:sz w:val="20"/>
          <w:szCs w:val="20"/>
        </w:rPr>
        <w:t>where</w:t>
      </w:r>
      <w:proofErr w:type="gramEnd"/>
      <w:r w:rsidRPr="00686C7B">
        <w:rPr>
          <w:rFonts w:ascii="Times New Roman" w:eastAsiaTheme="minorEastAsia" w:hAnsi="Times New Roman" w:cs="Times New Roman"/>
          <w:sz w:val="20"/>
          <w:szCs w:val="20"/>
        </w:rPr>
        <w:t xml:space="preserve"> </w:t>
      </w:r>
      <m:oMath>
        <m:r>
          <w:rPr>
            <w:rFonts w:ascii="Cambria Math" w:hAnsi="Cambria Math" w:cs="Times New Roman"/>
            <w:sz w:val="20"/>
            <w:szCs w:val="20"/>
          </w:rPr>
          <m:t>0.0343</m:t>
        </m:r>
      </m:oMath>
      <w:r w:rsidRPr="00686C7B">
        <w:rPr>
          <w:rFonts w:ascii="Times New Roman" w:eastAsiaTheme="minorEastAsia" w:hAnsi="Times New Roman" w:cs="Times New Roman"/>
          <w:sz w:val="20"/>
          <w:szCs w:val="20"/>
        </w:rPr>
        <w:t xml:space="preserve"> is the sample mean of political stability-absence of violence. </w:t>
      </w:r>
      <w:r w:rsidR="001B7158" w:rsidRPr="00686C7B">
        <w:rPr>
          <w:rFonts w:ascii="Times New Roman" w:eastAsiaTheme="minorEastAsia" w:hAnsi="Times New Roman" w:cs="Times New Roman"/>
          <w:sz w:val="20"/>
          <w:szCs w:val="20"/>
        </w:rPr>
        <w:t xml:space="preserve">      </w:t>
      </w:r>
      <w:r w:rsidR="00ED28CB" w:rsidRPr="00686C7B">
        <w:rPr>
          <w:rFonts w:ascii="Times New Roman" w:eastAsiaTheme="minorEastAsia" w:hAnsi="Times New Roman" w:cs="Times New Roman"/>
          <w:sz w:val="20"/>
          <w:szCs w:val="20"/>
        </w:rPr>
        <w:t xml:space="preserve">   </w:t>
      </w:r>
    </w:p>
    <w:p w14:paraId="6D5D2935" w14:textId="707B1BE6" w:rsidR="00472A00" w:rsidRPr="00686C7B" w:rsidRDefault="004A5872"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 xml:space="preserve">The </w:t>
      </w:r>
      <w:r w:rsidR="00407D51" w:rsidRPr="00686C7B">
        <w:rPr>
          <w:rFonts w:ascii="Times New Roman" w:eastAsiaTheme="minorEastAsia" w:hAnsi="Times New Roman" w:cs="Times New Roman"/>
          <w:sz w:val="20"/>
          <w:szCs w:val="20"/>
        </w:rPr>
        <w:t xml:space="preserve">lobbying power </w:t>
      </w:r>
      <w:r w:rsidRPr="00686C7B">
        <w:rPr>
          <w:rFonts w:ascii="Times New Roman" w:eastAsiaTheme="minorEastAsia" w:hAnsi="Times New Roman" w:cs="Times New Roman"/>
          <w:sz w:val="20"/>
          <w:szCs w:val="20"/>
        </w:rPr>
        <w:t>of landowners, proxied by agriculture value added, exerts a direct negative and statistically significant at the 5 percent level effect on public education spending. This result is consistent with the argument that since agricultural production does not require any skilled labor</w:t>
      </w:r>
      <w:r w:rsidR="00DF22AB"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and educated workers migrate from agriculture sector to industrial sectors</w:t>
      </w:r>
      <w:r w:rsidR="003451F3" w:rsidRPr="00686C7B">
        <w:rPr>
          <w:rFonts w:ascii="Times New Roman" w:eastAsiaTheme="minorEastAsia" w:hAnsi="Times New Roman" w:cs="Times New Roman"/>
          <w:sz w:val="20"/>
          <w:szCs w:val="20"/>
        </w:rPr>
        <w:t>,</w:t>
      </w:r>
      <w:r w:rsidRPr="00686C7B">
        <w:rPr>
          <w:rFonts w:ascii="Times New Roman" w:eastAsiaTheme="minorEastAsia" w:hAnsi="Times New Roman" w:cs="Times New Roman"/>
          <w:sz w:val="20"/>
          <w:szCs w:val="20"/>
        </w:rPr>
        <w:t xml:space="preserve"> when the landowners </w:t>
      </w:r>
      <w:r w:rsidR="004B68BB" w:rsidRPr="00686C7B">
        <w:rPr>
          <w:rFonts w:ascii="Times New Roman" w:eastAsiaTheme="minorEastAsia" w:hAnsi="Times New Roman" w:cs="Times New Roman"/>
          <w:sz w:val="20"/>
          <w:szCs w:val="20"/>
        </w:rPr>
        <w:t xml:space="preserve">obtain a stronger lobbying power </w:t>
      </w:r>
      <w:r w:rsidRPr="00686C7B">
        <w:rPr>
          <w:rFonts w:ascii="Times New Roman" w:eastAsiaTheme="minorEastAsia" w:hAnsi="Times New Roman" w:cs="Times New Roman"/>
          <w:sz w:val="20"/>
          <w:szCs w:val="20"/>
        </w:rPr>
        <w:t>this negatively affects public education spending levels within countries.</w:t>
      </w:r>
      <w:r w:rsidR="003451F3" w:rsidRPr="00686C7B">
        <w:rPr>
          <w:rFonts w:ascii="Times New Roman" w:eastAsiaTheme="minorEastAsia" w:hAnsi="Times New Roman" w:cs="Times New Roman"/>
          <w:sz w:val="20"/>
          <w:szCs w:val="20"/>
        </w:rPr>
        <w:t xml:space="preserve"> </w:t>
      </w:r>
      <w:r w:rsidR="003B0E8A" w:rsidRPr="00686C7B">
        <w:rPr>
          <w:rFonts w:ascii="Times New Roman" w:eastAsiaTheme="minorEastAsia" w:hAnsi="Times New Roman" w:cs="Times New Roman"/>
          <w:sz w:val="20"/>
          <w:szCs w:val="20"/>
        </w:rPr>
        <w:t>The coefficients of the interaction terms of agriculture value added with</w:t>
      </w:r>
      <w:r w:rsidR="00472A00" w:rsidRPr="00686C7B">
        <w:rPr>
          <w:rFonts w:ascii="Times New Roman" w:eastAsiaTheme="minorEastAsia" w:hAnsi="Times New Roman" w:cs="Times New Roman"/>
          <w:sz w:val="20"/>
          <w:szCs w:val="20"/>
        </w:rPr>
        <w:t xml:space="preserve"> governance indicators </w:t>
      </w:r>
      <w:r w:rsidR="003B0E8A" w:rsidRPr="00686C7B">
        <w:rPr>
          <w:rFonts w:ascii="Times New Roman" w:eastAsiaTheme="minorEastAsia" w:hAnsi="Times New Roman" w:cs="Times New Roman"/>
          <w:sz w:val="20"/>
          <w:szCs w:val="20"/>
        </w:rPr>
        <w:t>appear statistically significant at 5 percent level</w:t>
      </w:r>
      <w:r w:rsidR="00472A00" w:rsidRPr="00686C7B">
        <w:rPr>
          <w:rFonts w:ascii="Times New Roman" w:eastAsiaTheme="minorEastAsia" w:hAnsi="Times New Roman" w:cs="Times New Roman"/>
          <w:sz w:val="20"/>
          <w:szCs w:val="20"/>
        </w:rPr>
        <w:t xml:space="preserve"> (except for the interaction with political stability-absence of violence) </w:t>
      </w:r>
      <w:r w:rsidR="003B0E8A" w:rsidRPr="00686C7B">
        <w:rPr>
          <w:rFonts w:ascii="Times New Roman" w:eastAsiaTheme="minorEastAsia" w:hAnsi="Times New Roman" w:cs="Times New Roman"/>
          <w:sz w:val="20"/>
          <w:szCs w:val="20"/>
        </w:rPr>
        <w:t xml:space="preserve">and positive. This suggests that the negative effect of the </w:t>
      </w:r>
      <w:r w:rsidR="00407D51" w:rsidRPr="00686C7B">
        <w:rPr>
          <w:rFonts w:ascii="Times New Roman" w:eastAsiaTheme="minorEastAsia" w:hAnsi="Times New Roman" w:cs="Times New Roman"/>
          <w:sz w:val="20"/>
          <w:szCs w:val="20"/>
        </w:rPr>
        <w:t xml:space="preserve">lobbying power </w:t>
      </w:r>
      <w:r w:rsidR="003B0E8A" w:rsidRPr="00686C7B">
        <w:rPr>
          <w:rFonts w:ascii="Times New Roman" w:eastAsiaTheme="minorEastAsia" w:hAnsi="Times New Roman" w:cs="Times New Roman"/>
          <w:sz w:val="20"/>
          <w:szCs w:val="20"/>
        </w:rPr>
        <w:t>of landowners</w:t>
      </w:r>
      <w:r w:rsidR="003451F3" w:rsidRPr="00686C7B">
        <w:rPr>
          <w:rFonts w:ascii="Times New Roman" w:eastAsiaTheme="minorEastAsia" w:hAnsi="Times New Roman" w:cs="Times New Roman"/>
          <w:sz w:val="20"/>
          <w:szCs w:val="20"/>
        </w:rPr>
        <w:t xml:space="preserve"> </w:t>
      </w:r>
      <w:r w:rsidR="003B0E8A" w:rsidRPr="00686C7B">
        <w:rPr>
          <w:rFonts w:ascii="Times New Roman" w:eastAsiaTheme="minorEastAsia" w:hAnsi="Times New Roman" w:cs="Times New Roman"/>
          <w:sz w:val="20"/>
          <w:szCs w:val="20"/>
        </w:rPr>
        <w:t>on public education spending diminishes as the levels of</w:t>
      </w:r>
      <w:r w:rsidR="00472A00" w:rsidRPr="00686C7B">
        <w:rPr>
          <w:rFonts w:ascii="Times New Roman" w:eastAsiaTheme="minorEastAsia" w:hAnsi="Times New Roman" w:cs="Times New Roman"/>
          <w:sz w:val="20"/>
          <w:szCs w:val="20"/>
        </w:rPr>
        <w:t xml:space="preserve"> governance indicators </w:t>
      </w:r>
      <w:r w:rsidR="003B0E8A" w:rsidRPr="00686C7B">
        <w:rPr>
          <w:rFonts w:ascii="Times New Roman" w:eastAsiaTheme="minorEastAsia" w:hAnsi="Times New Roman" w:cs="Times New Roman"/>
          <w:sz w:val="20"/>
          <w:szCs w:val="20"/>
        </w:rPr>
        <w:t>improve within a country. Nevertheless, the magnitudes of the</w:t>
      </w:r>
      <w:r w:rsidR="00407D51" w:rsidRPr="00686C7B">
        <w:rPr>
          <w:rFonts w:ascii="Times New Roman" w:eastAsiaTheme="minorEastAsia" w:hAnsi="Times New Roman" w:cs="Times New Roman"/>
          <w:sz w:val="20"/>
          <w:szCs w:val="20"/>
        </w:rPr>
        <w:t xml:space="preserve">se effects </w:t>
      </w:r>
      <w:r w:rsidR="003B0E8A" w:rsidRPr="00686C7B">
        <w:rPr>
          <w:rFonts w:ascii="Times New Roman" w:eastAsiaTheme="minorEastAsia" w:hAnsi="Times New Roman" w:cs="Times New Roman"/>
          <w:sz w:val="20"/>
          <w:szCs w:val="20"/>
        </w:rPr>
        <w:t>are not big enough to completely eliminate the negative direct effect of landowners’</w:t>
      </w:r>
      <w:r w:rsidR="00407D51" w:rsidRPr="00686C7B">
        <w:rPr>
          <w:rFonts w:ascii="Times New Roman" w:eastAsiaTheme="minorEastAsia" w:hAnsi="Times New Roman" w:cs="Times New Roman"/>
          <w:sz w:val="20"/>
          <w:szCs w:val="20"/>
        </w:rPr>
        <w:t xml:space="preserve"> lobbying power </w:t>
      </w:r>
      <w:r w:rsidR="003B0E8A" w:rsidRPr="00686C7B">
        <w:rPr>
          <w:rFonts w:ascii="Times New Roman" w:eastAsiaTheme="minorEastAsia" w:hAnsi="Times New Roman" w:cs="Times New Roman"/>
          <w:sz w:val="20"/>
          <w:szCs w:val="20"/>
        </w:rPr>
        <w:t>on public education spending</w:t>
      </w:r>
      <w:r w:rsidR="00DF31EC" w:rsidRPr="00686C7B">
        <w:rPr>
          <w:rFonts w:ascii="Times New Roman" w:eastAsiaTheme="minorEastAsia" w:hAnsi="Times New Roman" w:cs="Times New Roman"/>
          <w:sz w:val="20"/>
          <w:szCs w:val="20"/>
        </w:rPr>
        <w:t xml:space="preserve">, even for countries </w:t>
      </w:r>
      <w:r w:rsidR="00392087" w:rsidRPr="00686C7B">
        <w:rPr>
          <w:rFonts w:ascii="Times New Roman" w:eastAsiaTheme="minorEastAsia" w:hAnsi="Times New Roman" w:cs="Times New Roman"/>
          <w:sz w:val="20"/>
          <w:szCs w:val="20"/>
        </w:rPr>
        <w:t xml:space="preserve">experiencing </w:t>
      </w:r>
      <w:r w:rsidR="00DF31EC" w:rsidRPr="00686C7B">
        <w:rPr>
          <w:rFonts w:ascii="Times New Roman" w:eastAsiaTheme="minorEastAsia" w:hAnsi="Times New Roman" w:cs="Times New Roman"/>
          <w:sz w:val="20"/>
          <w:szCs w:val="20"/>
        </w:rPr>
        <w:t>higher levels of the above mentioned governance indicators.</w:t>
      </w:r>
      <w:r w:rsidR="00472A00" w:rsidRPr="00686C7B">
        <w:rPr>
          <w:rFonts w:ascii="Times New Roman" w:eastAsiaTheme="minorEastAsia" w:hAnsi="Times New Roman" w:cs="Times New Roman"/>
          <w:sz w:val="20"/>
          <w:szCs w:val="20"/>
        </w:rPr>
        <w:t xml:space="preserve"> As a similar numerical exercise done above, </w:t>
      </w:r>
      <w:r w:rsidR="00B4573E" w:rsidRPr="00686C7B">
        <w:rPr>
          <w:rFonts w:ascii="Times New Roman" w:eastAsiaTheme="minorEastAsia" w:hAnsi="Times New Roman" w:cs="Times New Roman"/>
          <w:sz w:val="20"/>
          <w:szCs w:val="20"/>
        </w:rPr>
        <w:t>t</w:t>
      </w:r>
      <w:r w:rsidR="00472A00" w:rsidRPr="00686C7B">
        <w:rPr>
          <w:rFonts w:ascii="Times New Roman" w:eastAsiaTheme="minorEastAsia" w:hAnsi="Times New Roman" w:cs="Times New Roman"/>
          <w:sz w:val="20"/>
          <w:szCs w:val="20"/>
        </w:rPr>
        <w:t xml:space="preserve">he total effect of a marginal increase in agriculture value added implied by equation (1) is </w:t>
      </w:r>
    </w:p>
    <w:p w14:paraId="2A02D004" w14:textId="494864D4" w:rsidR="00472A00" w:rsidRPr="00686C7B" w:rsidRDefault="00E5123A" w:rsidP="00686C7B">
      <w:pPr>
        <w:spacing w:after="120" w:line="240" w:lineRule="auto"/>
        <w:ind w:left="-578"/>
        <w:jc w:val="both"/>
        <w:rPr>
          <w:rFonts w:ascii="Times New Roman" w:eastAsiaTheme="minorEastAsia" w:hAnsi="Times New Roman" w:cs="Times New Roman"/>
          <w:sz w:val="20"/>
          <w:szCs w:val="20"/>
        </w:rPr>
      </w:pPr>
      <m:oMath>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 public education spending</m:t>
            </m:r>
          </m:num>
          <m:den>
            <m:r>
              <w:rPr>
                <w:rFonts w:ascii="Cambria Math" w:eastAsiaTheme="minorEastAsia" w:hAnsi="Cambria Math" w:cs="Times New Roman"/>
                <w:sz w:val="20"/>
                <w:szCs w:val="20"/>
              </w:rPr>
              <m:t>∂ resource rent</m:t>
            </m:r>
          </m:den>
        </m:f>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β</m:t>
                </m:r>
              </m:e>
            </m:acc>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acc>
              <m:accPr>
                <m:ctrlPr>
                  <w:rPr>
                    <w:rFonts w:ascii="Cambria Math" w:eastAsiaTheme="minorEastAsia" w:hAnsi="Cambria Math" w:cs="Times New Roman"/>
                    <w:i/>
                    <w:sz w:val="20"/>
                    <w:szCs w:val="20"/>
                  </w:rPr>
                </m:ctrlPr>
              </m:accPr>
              <m:e>
                <m:r>
                  <w:rPr>
                    <w:rFonts w:ascii="Cambria Math" w:eastAsiaTheme="minorEastAsia" w:hAnsi="Cambria Math" w:cs="Times New Roman"/>
                    <w:sz w:val="20"/>
                    <w:szCs w:val="20"/>
                  </w:rPr>
                  <m:t>β</m:t>
                </m:r>
              </m:e>
            </m:acc>
          </m:e>
          <m:sub>
            <m:r>
              <w:rPr>
                <w:rFonts w:ascii="Cambria Math" w:eastAsiaTheme="minorEastAsia" w:hAnsi="Cambria Math" w:cs="Times New Roman"/>
                <w:sz w:val="20"/>
                <w:szCs w:val="20"/>
              </w:rPr>
              <m:t>6</m:t>
            </m:r>
          </m:sub>
        </m:sSub>
        <m:r>
          <w:rPr>
            <w:rFonts w:ascii="Cambria Math" w:eastAsiaTheme="minorEastAsia" w:hAnsi="Cambria Math" w:cs="Times New Roman"/>
            <w:sz w:val="20"/>
            <w:szCs w:val="20"/>
          </w:rPr>
          <m:t>governance indicator</m:t>
        </m:r>
      </m:oMath>
      <w:r w:rsidR="00472A00" w:rsidRPr="00686C7B">
        <w:rPr>
          <w:rFonts w:ascii="Times New Roman" w:eastAsiaTheme="minorEastAsia" w:hAnsi="Times New Roman" w:cs="Times New Roman"/>
          <w:sz w:val="20"/>
          <w:szCs w:val="20"/>
        </w:rPr>
        <w:t xml:space="preserve">                                                     </w:t>
      </w:r>
      <w:r w:rsidR="00686C7B">
        <w:rPr>
          <w:rFonts w:ascii="Times New Roman" w:eastAsiaTheme="minorEastAsia" w:hAnsi="Times New Roman" w:cs="Times New Roman"/>
          <w:sz w:val="20"/>
          <w:szCs w:val="20"/>
        </w:rPr>
        <w:t xml:space="preserve">                              </w:t>
      </w:r>
      <w:r w:rsidR="00472A00" w:rsidRPr="00686C7B">
        <w:rPr>
          <w:rFonts w:ascii="Times New Roman" w:eastAsiaTheme="minorEastAsia" w:hAnsi="Times New Roman" w:cs="Times New Roman"/>
          <w:sz w:val="20"/>
          <w:szCs w:val="20"/>
        </w:rPr>
        <w:t xml:space="preserve">(7) </w:t>
      </w:r>
    </w:p>
    <w:p w14:paraId="48F2E35F" w14:textId="428B2F12" w:rsidR="00472A00" w:rsidRPr="00686C7B" w:rsidRDefault="00472A00" w:rsidP="00686C7B">
      <w:pPr>
        <w:spacing w:after="120" w:line="240" w:lineRule="auto"/>
        <w:ind w:left="-578"/>
        <w:jc w:val="both"/>
        <w:rPr>
          <w:rFonts w:ascii="Times New Roman" w:eastAsiaTheme="minorEastAsia" w:hAnsi="Times New Roman" w:cs="Times New Roman"/>
          <w:color w:val="FF0000"/>
          <w:sz w:val="20"/>
          <w:szCs w:val="20"/>
        </w:rPr>
      </w:pPr>
      <w:r w:rsidRPr="00686C7B">
        <w:rPr>
          <w:rFonts w:ascii="Times New Roman" w:eastAsiaTheme="minorEastAsia" w:hAnsi="Times New Roman" w:cs="Times New Roman"/>
          <w:sz w:val="20"/>
          <w:szCs w:val="20"/>
        </w:rPr>
        <w:t xml:space="preserve">Working through the channel of government effectiveness the total impact of a marginal increase in agriculture value added on public education spending can be computed as, </w:t>
      </w:r>
    </w:p>
    <w:p w14:paraId="29099D03" w14:textId="30C0F5E6" w:rsidR="00472A00" w:rsidRPr="00686C7B" w:rsidRDefault="00472A00" w:rsidP="00686C7B">
      <w:pPr>
        <w:spacing w:after="120" w:line="240" w:lineRule="auto"/>
        <w:ind w:left="-578"/>
        <w:jc w:val="both"/>
        <w:rPr>
          <w:rFonts w:ascii="Times New Roman" w:eastAsiaTheme="minorEastAsia" w:hAnsi="Times New Roman" w:cs="Times New Roman"/>
          <w:sz w:val="20"/>
          <w:szCs w:val="20"/>
        </w:rPr>
      </w:pPr>
      <m:oMath>
        <m:r>
          <w:rPr>
            <w:rFonts w:ascii="Cambria Math" w:eastAsiaTheme="minorEastAsia" w:hAnsi="Cambria Math" w:cs="Times New Roman"/>
            <w:sz w:val="20"/>
            <w:szCs w:val="20"/>
          </w:rPr>
          <m:t>-0.081+</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0.0239*0.14</m:t>
            </m:r>
          </m:e>
        </m:d>
        <m:r>
          <w:rPr>
            <w:rFonts w:ascii="Cambria Math" w:eastAsiaTheme="minorEastAsia" w:hAnsi="Cambria Math" w:cs="Times New Roman"/>
            <w:sz w:val="20"/>
            <w:szCs w:val="20"/>
          </w:rPr>
          <m:t>≅-0.078</m:t>
        </m:r>
      </m:oMath>
      <w:r w:rsidRPr="00686C7B">
        <w:rPr>
          <w:rFonts w:ascii="Times New Roman" w:eastAsiaTheme="minorEastAsia" w:hAnsi="Times New Roman" w:cs="Times New Roman"/>
          <w:sz w:val="20"/>
          <w:szCs w:val="20"/>
        </w:rPr>
        <w:t xml:space="preserve">                                                                                       </w:t>
      </w:r>
      <w:r w:rsid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(8)</w:t>
      </w:r>
    </w:p>
    <w:p w14:paraId="35F976D1" w14:textId="3CCE7BEC" w:rsidR="003B0E8A" w:rsidRPr="00686C7B" w:rsidRDefault="00472A00" w:rsidP="00686C7B">
      <w:pPr>
        <w:spacing w:after="120" w:line="240" w:lineRule="auto"/>
        <w:ind w:left="-578"/>
        <w:jc w:val="both"/>
        <w:rPr>
          <w:rFonts w:ascii="Times New Roman" w:eastAsiaTheme="minorEastAsia" w:hAnsi="Times New Roman" w:cs="Times New Roman"/>
          <w:sz w:val="20"/>
          <w:szCs w:val="20"/>
        </w:rPr>
      </w:pPr>
      <w:proofErr w:type="gramStart"/>
      <w:r w:rsidRPr="00686C7B">
        <w:rPr>
          <w:rFonts w:ascii="Times New Roman" w:eastAsiaTheme="minorEastAsia" w:hAnsi="Times New Roman" w:cs="Times New Roman"/>
          <w:sz w:val="20"/>
          <w:szCs w:val="20"/>
        </w:rPr>
        <w:t>where</w:t>
      </w:r>
      <w:proofErr w:type="gramEnd"/>
      <w:r w:rsidRPr="00686C7B">
        <w:rPr>
          <w:rFonts w:ascii="Times New Roman" w:eastAsiaTheme="minorEastAsia" w:hAnsi="Times New Roman" w:cs="Times New Roman"/>
          <w:sz w:val="20"/>
          <w:szCs w:val="20"/>
        </w:rPr>
        <w:t xml:space="preserve"> </w:t>
      </w:r>
      <m:oMath>
        <m:r>
          <w:rPr>
            <w:rFonts w:ascii="Cambria Math" w:hAnsi="Cambria Math" w:cs="Times New Roman"/>
            <w:sz w:val="20"/>
            <w:szCs w:val="20"/>
          </w:rPr>
          <m:t>0.14</m:t>
        </m:r>
      </m:oMath>
      <w:r w:rsidRPr="00686C7B">
        <w:rPr>
          <w:rFonts w:ascii="Times New Roman" w:eastAsiaTheme="minorEastAsia" w:hAnsi="Times New Roman" w:cs="Times New Roman"/>
          <w:sz w:val="20"/>
          <w:szCs w:val="20"/>
        </w:rPr>
        <w:t xml:space="preserve"> is approximately the sample mean of government effectiveness.</w:t>
      </w:r>
      <w:r w:rsidR="003B0E8A" w:rsidRPr="00686C7B">
        <w:rPr>
          <w:rFonts w:ascii="Times New Roman" w:eastAsiaTheme="minorEastAsia" w:hAnsi="Times New Roman" w:cs="Times New Roman"/>
          <w:sz w:val="20"/>
          <w:szCs w:val="20"/>
        </w:rPr>
        <w:t xml:space="preserve">      </w:t>
      </w:r>
    </w:p>
    <w:p w14:paraId="1836C25C" w14:textId="77777777" w:rsidR="009B0760" w:rsidRDefault="009B0760" w:rsidP="00472A00">
      <w:pPr>
        <w:spacing w:after="120" w:line="360" w:lineRule="auto"/>
        <w:ind w:left="-576" w:firstLine="144"/>
        <w:jc w:val="both"/>
        <w:rPr>
          <w:rFonts w:ascii="Times New Roman" w:eastAsiaTheme="minorEastAsia" w:hAnsi="Times New Roman" w:cs="Times New Roman"/>
          <w:sz w:val="24"/>
          <w:szCs w:val="24"/>
        </w:rPr>
      </w:pPr>
    </w:p>
    <w:p w14:paraId="07CB000B" w14:textId="77777777" w:rsidR="009B0760" w:rsidRDefault="009B0760" w:rsidP="00472A00">
      <w:pPr>
        <w:spacing w:after="120" w:line="360" w:lineRule="auto"/>
        <w:ind w:left="-576" w:firstLine="144"/>
        <w:jc w:val="both"/>
        <w:rPr>
          <w:rFonts w:ascii="Times New Roman" w:eastAsiaTheme="minorEastAsia" w:hAnsi="Times New Roman" w:cs="Times New Roman"/>
          <w:sz w:val="24"/>
          <w:szCs w:val="24"/>
        </w:rPr>
      </w:pPr>
    </w:p>
    <w:p w14:paraId="11CD5774" w14:textId="77777777" w:rsidR="009B0760" w:rsidRDefault="009B0760" w:rsidP="00472A00">
      <w:pPr>
        <w:spacing w:after="120" w:line="360" w:lineRule="auto"/>
        <w:ind w:left="-576" w:firstLine="144"/>
        <w:jc w:val="both"/>
        <w:rPr>
          <w:rFonts w:ascii="Times New Roman" w:eastAsiaTheme="minorEastAsia" w:hAnsi="Times New Roman" w:cs="Times New Roman"/>
          <w:sz w:val="24"/>
          <w:szCs w:val="24"/>
        </w:rPr>
      </w:pPr>
    </w:p>
    <w:p w14:paraId="0DA0AC20" w14:textId="77777777" w:rsidR="009B0760" w:rsidRDefault="009B0760" w:rsidP="00472A00">
      <w:pPr>
        <w:spacing w:after="120" w:line="360" w:lineRule="auto"/>
        <w:ind w:left="-576" w:firstLine="144"/>
        <w:jc w:val="both"/>
        <w:rPr>
          <w:rFonts w:ascii="Times New Roman" w:eastAsiaTheme="minorEastAsia" w:hAnsi="Times New Roman" w:cs="Times New Roman"/>
          <w:sz w:val="24"/>
          <w:szCs w:val="24"/>
        </w:rPr>
      </w:pPr>
    </w:p>
    <w:p w14:paraId="2FF443D4" w14:textId="77777777" w:rsidR="00AE62A4" w:rsidRDefault="00AE62A4" w:rsidP="009B0760">
      <w:pPr>
        <w:keepNext/>
        <w:widowControl w:val="0"/>
        <w:autoSpaceDE w:val="0"/>
        <w:autoSpaceDN w:val="0"/>
        <w:adjustRightInd w:val="0"/>
        <w:spacing w:after="0" w:line="240" w:lineRule="auto"/>
        <w:rPr>
          <w:rFonts w:ascii="Times New Roman" w:eastAsiaTheme="minorEastAsia" w:hAnsi="Times New Roman" w:cs="Times New Roman"/>
          <w:sz w:val="20"/>
          <w:szCs w:val="20"/>
        </w:rPr>
        <w:sectPr w:rsidR="00AE62A4" w:rsidSect="00AE62A4">
          <w:footerReference w:type="default" r:id="rId13"/>
          <w:pgSz w:w="12240" w:h="15840"/>
          <w:pgMar w:top="1440" w:right="1440" w:bottom="1800" w:left="2160" w:header="720" w:footer="720" w:gutter="0"/>
          <w:cols w:space="720"/>
          <w:noEndnote/>
        </w:sectPr>
      </w:pPr>
    </w:p>
    <w:p w14:paraId="613D9E68" w14:textId="1B3734E0" w:rsidR="009B0760" w:rsidRPr="00774092" w:rsidRDefault="009B0760" w:rsidP="009B0760">
      <w:pPr>
        <w:keepNext/>
        <w:widowControl w:val="0"/>
        <w:autoSpaceDE w:val="0"/>
        <w:autoSpaceDN w:val="0"/>
        <w:adjustRightInd w:val="0"/>
        <w:spacing w:after="0" w:line="240" w:lineRule="auto"/>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lastRenderedPageBreak/>
        <w:t xml:space="preserve">Table </w:t>
      </w:r>
      <w:r>
        <w:rPr>
          <w:rFonts w:ascii="Times New Roman" w:eastAsiaTheme="minorEastAsia" w:hAnsi="Times New Roman" w:cs="Times New Roman"/>
          <w:sz w:val="20"/>
          <w:szCs w:val="20"/>
        </w:rPr>
        <w:t>2</w:t>
      </w:r>
      <w:r w:rsidRPr="00774092">
        <w:rPr>
          <w:rFonts w:ascii="Times New Roman" w:eastAsiaTheme="minorEastAsia" w:hAnsi="Times New Roman" w:cs="Times New Roman"/>
          <w:sz w:val="20"/>
          <w:szCs w:val="20"/>
        </w:rPr>
        <w:t xml:space="preserve"> Regression Results – No Governance Indicators</w:t>
      </w:r>
    </w:p>
    <w:tbl>
      <w:tblPr>
        <w:tblW w:w="5000" w:type="pct"/>
        <w:tblLook w:val="0000" w:firstRow="0" w:lastRow="0" w:firstColumn="0" w:lastColumn="0" w:noHBand="0" w:noVBand="0"/>
      </w:tblPr>
      <w:tblGrid>
        <w:gridCol w:w="2162"/>
        <w:gridCol w:w="1776"/>
        <w:gridCol w:w="1776"/>
        <w:gridCol w:w="1776"/>
        <w:gridCol w:w="1776"/>
        <w:gridCol w:w="1776"/>
        <w:gridCol w:w="1774"/>
      </w:tblGrid>
      <w:tr w:rsidR="009B0760" w:rsidRPr="00774092" w14:paraId="4ED53DAF" w14:textId="77777777" w:rsidTr="009B0760">
        <w:tc>
          <w:tcPr>
            <w:tcW w:w="843" w:type="pct"/>
            <w:tcBorders>
              <w:top w:val="single" w:sz="4" w:space="0" w:color="auto"/>
              <w:left w:val="nil"/>
              <w:bottom w:val="nil"/>
              <w:right w:val="nil"/>
            </w:tcBorders>
          </w:tcPr>
          <w:p w14:paraId="13F2E4FC"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single" w:sz="4" w:space="0" w:color="auto"/>
              <w:left w:val="nil"/>
              <w:bottom w:val="nil"/>
              <w:right w:val="nil"/>
            </w:tcBorders>
          </w:tcPr>
          <w:p w14:paraId="68474BE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(1)</w:t>
            </w:r>
          </w:p>
        </w:tc>
        <w:tc>
          <w:tcPr>
            <w:tcW w:w="693" w:type="pct"/>
            <w:tcBorders>
              <w:top w:val="single" w:sz="4" w:space="0" w:color="auto"/>
              <w:left w:val="nil"/>
              <w:bottom w:val="nil"/>
              <w:right w:val="nil"/>
            </w:tcBorders>
          </w:tcPr>
          <w:p w14:paraId="1238754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(2)</w:t>
            </w:r>
          </w:p>
        </w:tc>
        <w:tc>
          <w:tcPr>
            <w:tcW w:w="693" w:type="pct"/>
            <w:tcBorders>
              <w:top w:val="single" w:sz="4" w:space="0" w:color="auto"/>
              <w:left w:val="nil"/>
              <w:bottom w:val="nil"/>
              <w:right w:val="nil"/>
            </w:tcBorders>
          </w:tcPr>
          <w:p w14:paraId="1AF8D94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(3)</w:t>
            </w:r>
          </w:p>
        </w:tc>
        <w:tc>
          <w:tcPr>
            <w:tcW w:w="693" w:type="pct"/>
            <w:tcBorders>
              <w:top w:val="single" w:sz="4" w:space="0" w:color="auto"/>
              <w:left w:val="nil"/>
              <w:bottom w:val="nil"/>
              <w:right w:val="nil"/>
            </w:tcBorders>
          </w:tcPr>
          <w:p w14:paraId="57B4252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(4)</w:t>
            </w:r>
          </w:p>
        </w:tc>
        <w:tc>
          <w:tcPr>
            <w:tcW w:w="693" w:type="pct"/>
            <w:tcBorders>
              <w:top w:val="single" w:sz="4" w:space="0" w:color="auto"/>
              <w:left w:val="nil"/>
              <w:bottom w:val="nil"/>
              <w:right w:val="nil"/>
            </w:tcBorders>
          </w:tcPr>
          <w:p w14:paraId="3502110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(5)</w:t>
            </w:r>
          </w:p>
        </w:tc>
        <w:tc>
          <w:tcPr>
            <w:tcW w:w="692" w:type="pct"/>
            <w:tcBorders>
              <w:top w:val="single" w:sz="4" w:space="0" w:color="auto"/>
              <w:left w:val="nil"/>
              <w:bottom w:val="nil"/>
              <w:right w:val="nil"/>
            </w:tcBorders>
          </w:tcPr>
          <w:p w14:paraId="2B53F470"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(6)</w:t>
            </w:r>
          </w:p>
        </w:tc>
      </w:tr>
      <w:tr w:rsidR="009B0760" w:rsidRPr="00774092" w14:paraId="0A5DD548" w14:textId="77777777" w:rsidTr="009B0760">
        <w:tc>
          <w:tcPr>
            <w:tcW w:w="843" w:type="pct"/>
            <w:tcBorders>
              <w:top w:val="nil"/>
              <w:left w:val="nil"/>
              <w:bottom w:val="nil"/>
              <w:right w:val="nil"/>
            </w:tcBorders>
          </w:tcPr>
          <w:p w14:paraId="65AC49F9"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1D9EC8C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pubedu</w:t>
            </w:r>
            <w:proofErr w:type="spellEnd"/>
          </w:p>
        </w:tc>
        <w:tc>
          <w:tcPr>
            <w:tcW w:w="693" w:type="pct"/>
            <w:tcBorders>
              <w:top w:val="nil"/>
              <w:left w:val="nil"/>
              <w:bottom w:val="nil"/>
              <w:right w:val="nil"/>
            </w:tcBorders>
          </w:tcPr>
          <w:p w14:paraId="6F891C4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pubedu</w:t>
            </w:r>
            <w:proofErr w:type="spellEnd"/>
          </w:p>
        </w:tc>
        <w:tc>
          <w:tcPr>
            <w:tcW w:w="693" w:type="pct"/>
            <w:tcBorders>
              <w:top w:val="nil"/>
              <w:left w:val="nil"/>
              <w:bottom w:val="nil"/>
              <w:right w:val="nil"/>
            </w:tcBorders>
          </w:tcPr>
          <w:p w14:paraId="7A0FEE5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pubedu</w:t>
            </w:r>
            <w:proofErr w:type="spellEnd"/>
          </w:p>
        </w:tc>
        <w:tc>
          <w:tcPr>
            <w:tcW w:w="693" w:type="pct"/>
            <w:tcBorders>
              <w:top w:val="nil"/>
              <w:left w:val="nil"/>
              <w:bottom w:val="nil"/>
              <w:right w:val="nil"/>
            </w:tcBorders>
          </w:tcPr>
          <w:p w14:paraId="50388D19"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pubedu</w:t>
            </w:r>
            <w:proofErr w:type="spellEnd"/>
          </w:p>
        </w:tc>
        <w:tc>
          <w:tcPr>
            <w:tcW w:w="693" w:type="pct"/>
            <w:tcBorders>
              <w:top w:val="nil"/>
              <w:left w:val="nil"/>
              <w:bottom w:val="nil"/>
              <w:right w:val="nil"/>
            </w:tcBorders>
          </w:tcPr>
          <w:p w14:paraId="2489E92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pubedu</w:t>
            </w:r>
            <w:proofErr w:type="spellEnd"/>
          </w:p>
        </w:tc>
        <w:tc>
          <w:tcPr>
            <w:tcW w:w="692" w:type="pct"/>
            <w:tcBorders>
              <w:top w:val="nil"/>
              <w:left w:val="nil"/>
              <w:bottom w:val="nil"/>
              <w:right w:val="nil"/>
            </w:tcBorders>
          </w:tcPr>
          <w:p w14:paraId="59C23450"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pubedu</w:t>
            </w:r>
            <w:proofErr w:type="spellEnd"/>
          </w:p>
        </w:tc>
      </w:tr>
      <w:tr w:rsidR="009B0760" w:rsidRPr="00774092" w14:paraId="7BBB3089" w14:textId="77777777" w:rsidTr="009B0760">
        <w:tc>
          <w:tcPr>
            <w:tcW w:w="843" w:type="pct"/>
            <w:tcBorders>
              <w:top w:val="single" w:sz="4" w:space="0" w:color="auto"/>
              <w:left w:val="nil"/>
              <w:bottom w:val="nil"/>
              <w:right w:val="nil"/>
            </w:tcBorders>
          </w:tcPr>
          <w:p w14:paraId="4CCBD411"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resourcerent</w:t>
            </w:r>
            <w:proofErr w:type="spellEnd"/>
          </w:p>
        </w:tc>
        <w:tc>
          <w:tcPr>
            <w:tcW w:w="693" w:type="pct"/>
            <w:tcBorders>
              <w:top w:val="single" w:sz="4" w:space="0" w:color="auto"/>
              <w:left w:val="nil"/>
              <w:bottom w:val="nil"/>
              <w:right w:val="nil"/>
            </w:tcBorders>
          </w:tcPr>
          <w:p w14:paraId="429370C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-0.0270**</w:t>
            </w:r>
          </w:p>
        </w:tc>
        <w:tc>
          <w:tcPr>
            <w:tcW w:w="693" w:type="pct"/>
            <w:tcBorders>
              <w:top w:val="single" w:sz="4" w:space="0" w:color="auto"/>
              <w:left w:val="nil"/>
              <w:bottom w:val="nil"/>
              <w:right w:val="nil"/>
            </w:tcBorders>
          </w:tcPr>
          <w:p w14:paraId="2D59A17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-0.0356**</w:t>
            </w:r>
          </w:p>
        </w:tc>
        <w:tc>
          <w:tcPr>
            <w:tcW w:w="693" w:type="pct"/>
            <w:tcBorders>
              <w:top w:val="single" w:sz="4" w:space="0" w:color="auto"/>
              <w:left w:val="nil"/>
              <w:bottom w:val="nil"/>
              <w:right w:val="nil"/>
            </w:tcBorders>
          </w:tcPr>
          <w:p w14:paraId="6294F82C"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-0.0341**</w:t>
            </w:r>
          </w:p>
        </w:tc>
        <w:tc>
          <w:tcPr>
            <w:tcW w:w="693" w:type="pct"/>
            <w:tcBorders>
              <w:top w:val="single" w:sz="4" w:space="0" w:color="auto"/>
              <w:left w:val="nil"/>
              <w:bottom w:val="nil"/>
              <w:right w:val="nil"/>
            </w:tcBorders>
          </w:tcPr>
          <w:p w14:paraId="08019FE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-0.0335**</w:t>
            </w:r>
          </w:p>
        </w:tc>
        <w:tc>
          <w:tcPr>
            <w:tcW w:w="693" w:type="pct"/>
            <w:tcBorders>
              <w:top w:val="single" w:sz="4" w:space="0" w:color="auto"/>
              <w:left w:val="nil"/>
              <w:bottom w:val="nil"/>
              <w:right w:val="nil"/>
            </w:tcBorders>
          </w:tcPr>
          <w:p w14:paraId="41612F2C"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-0.0311**</w:t>
            </w:r>
          </w:p>
        </w:tc>
        <w:tc>
          <w:tcPr>
            <w:tcW w:w="692" w:type="pct"/>
            <w:tcBorders>
              <w:top w:val="single" w:sz="4" w:space="0" w:color="auto"/>
              <w:left w:val="nil"/>
              <w:bottom w:val="nil"/>
              <w:right w:val="nil"/>
            </w:tcBorders>
          </w:tcPr>
          <w:p w14:paraId="485B904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-0.0361**</w:t>
            </w:r>
          </w:p>
        </w:tc>
      </w:tr>
      <w:tr w:rsidR="009B0760" w:rsidRPr="00774092" w14:paraId="0C832CC1" w14:textId="77777777" w:rsidTr="009B0760">
        <w:tc>
          <w:tcPr>
            <w:tcW w:w="843" w:type="pct"/>
            <w:tcBorders>
              <w:top w:val="nil"/>
              <w:left w:val="nil"/>
              <w:bottom w:val="nil"/>
              <w:right w:val="nil"/>
            </w:tcBorders>
          </w:tcPr>
          <w:p w14:paraId="5741E6D0"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16409AE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(0.00617)</w:t>
            </w:r>
          </w:p>
        </w:tc>
        <w:tc>
          <w:tcPr>
            <w:tcW w:w="693" w:type="pct"/>
            <w:tcBorders>
              <w:top w:val="nil"/>
              <w:left w:val="nil"/>
              <w:bottom w:val="nil"/>
              <w:right w:val="nil"/>
            </w:tcBorders>
          </w:tcPr>
          <w:p w14:paraId="47831B28"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(0.00757)</w:t>
            </w:r>
          </w:p>
        </w:tc>
        <w:tc>
          <w:tcPr>
            <w:tcW w:w="693" w:type="pct"/>
            <w:tcBorders>
              <w:top w:val="nil"/>
              <w:left w:val="nil"/>
              <w:bottom w:val="nil"/>
              <w:right w:val="nil"/>
            </w:tcBorders>
          </w:tcPr>
          <w:p w14:paraId="0BB5B0D1"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(0.00721)</w:t>
            </w:r>
          </w:p>
        </w:tc>
        <w:tc>
          <w:tcPr>
            <w:tcW w:w="693" w:type="pct"/>
            <w:tcBorders>
              <w:top w:val="nil"/>
              <w:left w:val="nil"/>
              <w:bottom w:val="nil"/>
              <w:right w:val="nil"/>
            </w:tcBorders>
          </w:tcPr>
          <w:p w14:paraId="544CE8E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(0.00745)</w:t>
            </w:r>
          </w:p>
        </w:tc>
        <w:tc>
          <w:tcPr>
            <w:tcW w:w="693" w:type="pct"/>
            <w:tcBorders>
              <w:top w:val="nil"/>
              <w:left w:val="nil"/>
              <w:bottom w:val="nil"/>
              <w:right w:val="nil"/>
            </w:tcBorders>
          </w:tcPr>
          <w:p w14:paraId="258F37B0"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(0.00703)</w:t>
            </w:r>
          </w:p>
        </w:tc>
        <w:tc>
          <w:tcPr>
            <w:tcW w:w="692" w:type="pct"/>
            <w:tcBorders>
              <w:top w:val="nil"/>
              <w:left w:val="nil"/>
              <w:bottom w:val="nil"/>
              <w:right w:val="nil"/>
            </w:tcBorders>
          </w:tcPr>
          <w:p w14:paraId="0258320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(0.00735)</w:t>
            </w:r>
          </w:p>
        </w:tc>
      </w:tr>
      <w:tr w:rsidR="009B0760" w:rsidRPr="00774092" w14:paraId="61C45BFC" w14:textId="77777777" w:rsidTr="009B0760">
        <w:tc>
          <w:tcPr>
            <w:tcW w:w="843" w:type="pct"/>
            <w:tcBorders>
              <w:top w:val="nil"/>
              <w:left w:val="nil"/>
              <w:bottom w:val="nil"/>
              <w:right w:val="nil"/>
            </w:tcBorders>
          </w:tcPr>
          <w:p w14:paraId="1F589A2C"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251F3AF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3A2671D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6FE9D4E0"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78988B7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0F2B11E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025A6AE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7517C7CD" w14:textId="77777777" w:rsidTr="009B0760">
        <w:tc>
          <w:tcPr>
            <w:tcW w:w="843" w:type="pct"/>
            <w:tcBorders>
              <w:top w:val="nil"/>
              <w:left w:val="nil"/>
              <w:bottom w:val="nil"/>
              <w:right w:val="nil"/>
            </w:tcBorders>
          </w:tcPr>
          <w:p w14:paraId="4509CF9B"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manufacture</w:t>
            </w:r>
          </w:p>
        </w:tc>
        <w:tc>
          <w:tcPr>
            <w:tcW w:w="693" w:type="pct"/>
            <w:tcBorders>
              <w:top w:val="nil"/>
              <w:left w:val="nil"/>
              <w:bottom w:val="nil"/>
              <w:right w:val="nil"/>
            </w:tcBorders>
          </w:tcPr>
          <w:p w14:paraId="246E3DDC"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0.0149**</w:t>
            </w:r>
          </w:p>
        </w:tc>
        <w:tc>
          <w:tcPr>
            <w:tcW w:w="693" w:type="pct"/>
            <w:tcBorders>
              <w:top w:val="nil"/>
              <w:left w:val="nil"/>
              <w:bottom w:val="nil"/>
              <w:right w:val="nil"/>
            </w:tcBorders>
          </w:tcPr>
          <w:p w14:paraId="3447DE8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0.0152**</w:t>
            </w:r>
          </w:p>
        </w:tc>
        <w:tc>
          <w:tcPr>
            <w:tcW w:w="693" w:type="pct"/>
            <w:tcBorders>
              <w:top w:val="nil"/>
              <w:left w:val="nil"/>
              <w:bottom w:val="nil"/>
              <w:right w:val="nil"/>
            </w:tcBorders>
          </w:tcPr>
          <w:p w14:paraId="44302D4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0.0170**</w:t>
            </w:r>
          </w:p>
        </w:tc>
        <w:tc>
          <w:tcPr>
            <w:tcW w:w="693" w:type="pct"/>
            <w:tcBorders>
              <w:top w:val="nil"/>
              <w:left w:val="nil"/>
              <w:bottom w:val="nil"/>
              <w:right w:val="nil"/>
            </w:tcBorders>
          </w:tcPr>
          <w:p w14:paraId="0745763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0.0134*</w:t>
            </w:r>
          </w:p>
        </w:tc>
        <w:tc>
          <w:tcPr>
            <w:tcW w:w="693" w:type="pct"/>
            <w:tcBorders>
              <w:top w:val="nil"/>
              <w:left w:val="nil"/>
              <w:bottom w:val="nil"/>
              <w:right w:val="nil"/>
            </w:tcBorders>
          </w:tcPr>
          <w:p w14:paraId="0ED45CF8"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0.0163**</w:t>
            </w:r>
          </w:p>
        </w:tc>
        <w:tc>
          <w:tcPr>
            <w:tcW w:w="692" w:type="pct"/>
            <w:tcBorders>
              <w:top w:val="nil"/>
              <w:left w:val="nil"/>
              <w:bottom w:val="nil"/>
              <w:right w:val="nil"/>
            </w:tcBorders>
          </w:tcPr>
          <w:p w14:paraId="03FF52C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0.0160**</w:t>
            </w:r>
          </w:p>
        </w:tc>
      </w:tr>
      <w:tr w:rsidR="009B0760" w:rsidRPr="00774092" w14:paraId="59632E61" w14:textId="77777777" w:rsidTr="009B0760">
        <w:tc>
          <w:tcPr>
            <w:tcW w:w="843" w:type="pct"/>
            <w:tcBorders>
              <w:top w:val="nil"/>
              <w:left w:val="nil"/>
              <w:bottom w:val="nil"/>
              <w:right w:val="nil"/>
            </w:tcBorders>
          </w:tcPr>
          <w:p w14:paraId="2C58FB0F"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6CA4446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(0.00616)</w:t>
            </w:r>
          </w:p>
        </w:tc>
        <w:tc>
          <w:tcPr>
            <w:tcW w:w="693" w:type="pct"/>
            <w:tcBorders>
              <w:top w:val="nil"/>
              <w:left w:val="nil"/>
              <w:bottom w:val="nil"/>
              <w:right w:val="nil"/>
            </w:tcBorders>
          </w:tcPr>
          <w:p w14:paraId="74E0974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(0.00708)</w:t>
            </w:r>
          </w:p>
        </w:tc>
        <w:tc>
          <w:tcPr>
            <w:tcW w:w="693" w:type="pct"/>
            <w:tcBorders>
              <w:top w:val="nil"/>
              <w:left w:val="nil"/>
              <w:bottom w:val="nil"/>
              <w:right w:val="nil"/>
            </w:tcBorders>
          </w:tcPr>
          <w:p w14:paraId="67186EC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(0.00717)</w:t>
            </w:r>
          </w:p>
        </w:tc>
        <w:tc>
          <w:tcPr>
            <w:tcW w:w="693" w:type="pct"/>
            <w:tcBorders>
              <w:top w:val="nil"/>
              <w:left w:val="nil"/>
              <w:bottom w:val="nil"/>
              <w:right w:val="nil"/>
            </w:tcBorders>
          </w:tcPr>
          <w:p w14:paraId="2F5FEA5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(0.00731)</w:t>
            </w:r>
          </w:p>
        </w:tc>
        <w:tc>
          <w:tcPr>
            <w:tcW w:w="693" w:type="pct"/>
            <w:tcBorders>
              <w:top w:val="nil"/>
              <w:left w:val="nil"/>
              <w:bottom w:val="nil"/>
              <w:right w:val="nil"/>
            </w:tcBorders>
          </w:tcPr>
          <w:p w14:paraId="0DAD0D9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(0.00737)</w:t>
            </w:r>
          </w:p>
        </w:tc>
        <w:tc>
          <w:tcPr>
            <w:tcW w:w="692" w:type="pct"/>
            <w:tcBorders>
              <w:top w:val="nil"/>
              <w:left w:val="nil"/>
              <w:bottom w:val="nil"/>
              <w:right w:val="nil"/>
            </w:tcBorders>
          </w:tcPr>
          <w:p w14:paraId="42EEACA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(0.00703)</w:t>
            </w:r>
          </w:p>
        </w:tc>
      </w:tr>
      <w:tr w:rsidR="009B0760" w:rsidRPr="00774092" w14:paraId="1A94F1E7" w14:textId="77777777" w:rsidTr="009B0760">
        <w:tc>
          <w:tcPr>
            <w:tcW w:w="843" w:type="pct"/>
            <w:tcBorders>
              <w:top w:val="nil"/>
              <w:left w:val="nil"/>
              <w:bottom w:val="nil"/>
              <w:right w:val="nil"/>
            </w:tcBorders>
          </w:tcPr>
          <w:p w14:paraId="4CF72EA8"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41C5C0B1"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5A7E221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33EE936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62991E4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272C219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6310E7A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40AE0C98" w14:textId="77777777" w:rsidTr="009B0760">
        <w:tc>
          <w:tcPr>
            <w:tcW w:w="843" w:type="pct"/>
            <w:tcBorders>
              <w:top w:val="nil"/>
              <w:left w:val="nil"/>
              <w:bottom w:val="nil"/>
              <w:right w:val="nil"/>
            </w:tcBorders>
          </w:tcPr>
          <w:p w14:paraId="5F10EFC7"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agriculture</w:t>
            </w:r>
          </w:p>
        </w:tc>
        <w:tc>
          <w:tcPr>
            <w:tcW w:w="693" w:type="pct"/>
            <w:tcBorders>
              <w:top w:val="nil"/>
              <w:left w:val="nil"/>
              <w:bottom w:val="nil"/>
              <w:right w:val="nil"/>
            </w:tcBorders>
          </w:tcPr>
          <w:p w14:paraId="27CB7C5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-0.0999**</w:t>
            </w:r>
          </w:p>
        </w:tc>
        <w:tc>
          <w:tcPr>
            <w:tcW w:w="693" w:type="pct"/>
            <w:tcBorders>
              <w:top w:val="nil"/>
              <w:left w:val="nil"/>
              <w:bottom w:val="nil"/>
              <w:right w:val="nil"/>
            </w:tcBorders>
          </w:tcPr>
          <w:p w14:paraId="446EB1C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-0.0793**</w:t>
            </w:r>
          </w:p>
        </w:tc>
        <w:tc>
          <w:tcPr>
            <w:tcW w:w="693" w:type="pct"/>
            <w:tcBorders>
              <w:top w:val="nil"/>
              <w:left w:val="nil"/>
              <w:bottom w:val="nil"/>
              <w:right w:val="nil"/>
            </w:tcBorders>
          </w:tcPr>
          <w:p w14:paraId="65A82A9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-0.0810**</w:t>
            </w:r>
          </w:p>
        </w:tc>
        <w:tc>
          <w:tcPr>
            <w:tcW w:w="693" w:type="pct"/>
            <w:tcBorders>
              <w:top w:val="nil"/>
              <w:left w:val="nil"/>
              <w:bottom w:val="nil"/>
              <w:right w:val="nil"/>
            </w:tcBorders>
          </w:tcPr>
          <w:p w14:paraId="7F77AFC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-0.0934**</w:t>
            </w:r>
          </w:p>
        </w:tc>
        <w:tc>
          <w:tcPr>
            <w:tcW w:w="693" w:type="pct"/>
            <w:tcBorders>
              <w:top w:val="nil"/>
              <w:left w:val="nil"/>
              <w:bottom w:val="nil"/>
              <w:right w:val="nil"/>
            </w:tcBorders>
          </w:tcPr>
          <w:p w14:paraId="2D9EA6C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-0.0858**</w:t>
            </w:r>
          </w:p>
        </w:tc>
        <w:tc>
          <w:tcPr>
            <w:tcW w:w="692" w:type="pct"/>
            <w:tcBorders>
              <w:top w:val="nil"/>
              <w:left w:val="nil"/>
              <w:bottom w:val="nil"/>
              <w:right w:val="nil"/>
            </w:tcBorders>
          </w:tcPr>
          <w:p w14:paraId="3A71F418"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-0.0826**</w:t>
            </w:r>
          </w:p>
        </w:tc>
      </w:tr>
      <w:tr w:rsidR="009B0760" w:rsidRPr="00774092" w14:paraId="05A4109F" w14:textId="77777777" w:rsidTr="009B0760">
        <w:tc>
          <w:tcPr>
            <w:tcW w:w="843" w:type="pct"/>
            <w:tcBorders>
              <w:top w:val="nil"/>
              <w:left w:val="nil"/>
              <w:bottom w:val="nil"/>
              <w:right w:val="nil"/>
            </w:tcBorders>
          </w:tcPr>
          <w:p w14:paraId="7025EED2"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7A47D2B1"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(0.0115)</w:t>
            </w:r>
          </w:p>
        </w:tc>
        <w:tc>
          <w:tcPr>
            <w:tcW w:w="693" w:type="pct"/>
            <w:tcBorders>
              <w:top w:val="nil"/>
              <w:left w:val="nil"/>
              <w:bottom w:val="nil"/>
              <w:right w:val="nil"/>
            </w:tcBorders>
          </w:tcPr>
          <w:p w14:paraId="306AB96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(0.0143)</w:t>
            </w:r>
          </w:p>
        </w:tc>
        <w:tc>
          <w:tcPr>
            <w:tcW w:w="693" w:type="pct"/>
            <w:tcBorders>
              <w:top w:val="nil"/>
              <w:left w:val="nil"/>
              <w:bottom w:val="nil"/>
              <w:right w:val="nil"/>
            </w:tcBorders>
          </w:tcPr>
          <w:p w14:paraId="09585E7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(0.0139)</w:t>
            </w:r>
          </w:p>
        </w:tc>
        <w:tc>
          <w:tcPr>
            <w:tcW w:w="693" w:type="pct"/>
            <w:tcBorders>
              <w:top w:val="nil"/>
              <w:left w:val="nil"/>
              <w:bottom w:val="nil"/>
              <w:right w:val="nil"/>
            </w:tcBorders>
          </w:tcPr>
          <w:p w14:paraId="1E2BF8B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(0.0136)</w:t>
            </w:r>
          </w:p>
        </w:tc>
        <w:tc>
          <w:tcPr>
            <w:tcW w:w="693" w:type="pct"/>
            <w:tcBorders>
              <w:top w:val="nil"/>
              <w:left w:val="nil"/>
              <w:bottom w:val="nil"/>
              <w:right w:val="nil"/>
            </w:tcBorders>
          </w:tcPr>
          <w:p w14:paraId="17F10190"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(0.0138)</w:t>
            </w:r>
          </w:p>
        </w:tc>
        <w:tc>
          <w:tcPr>
            <w:tcW w:w="692" w:type="pct"/>
            <w:tcBorders>
              <w:top w:val="nil"/>
              <w:left w:val="nil"/>
              <w:bottom w:val="nil"/>
              <w:right w:val="nil"/>
            </w:tcBorders>
          </w:tcPr>
          <w:p w14:paraId="13D5A19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(0.0145)</w:t>
            </w:r>
          </w:p>
        </w:tc>
      </w:tr>
      <w:tr w:rsidR="009B0760" w:rsidRPr="00774092" w14:paraId="4A6CA926" w14:textId="77777777" w:rsidTr="009B0760">
        <w:tc>
          <w:tcPr>
            <w:tcW w:w="843" w:type="pct"/>
            <w:tcBorders>
              <w:top w:val="nil"/>
              <w:left w:val="nil"/>
              <w:bottom w:val="nil"/>
              <w:right w:val="nil"/>
            </w:tcBorders>
          </w:tcPr>
          <w:p w14:paraId="021E482E"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5EC3CAD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1848F0C0"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4148B60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1D7C71A1"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4A1FF8B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47956C68"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17ABE73F" w14:textId="77777777" w:rsidTr="009B0760">
        <w:tc>
          <w:tcPr>
            <w:tcW w:w="843" w:type="pct"/>
            <w:tcBorders>
              <w:top w:val="nil"/>
              <w:left w:val="nil"/>
              <w:bottom w:val="nil"/>
              <w:right w:val="nil"/>
            </w:tcBorders>
          </w:tcPr>
          <w:p w14:paraId="45A1E8B4"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Gdp</w:t>
            </w:r>
            <w:proofErr w:type="spellEnd"/>
            <w:r w:rsidRPr="00774092">
              <w:rPr>
                <w:rFonts w:ascii="Times New Roman" w:eastAsiaTheme="minorEastAsia" w:hAnsi="Times New Roman" w:cs="Times New Roman"/>
                <w:sz w:val="20"/>
                <w:szCs w:val="20"/>
              </w:rPr>
              <w:t xml:space="preserve"> </w:t>
            </w:r>
            <w:proofErr w:type="spellStart"/>
            <w:r w:rsidRPr="00774092">
              <w:rPr>
                <w:rFonts w:ascii="Times New Roman" w:eastAsiaTheme="minorEastAsia" w:hAnsi="Times New Roman" w:cs="Times New Roman"/>
                <w:sz w:val="20"/>
                <w:szCs w:val="20"/>
              </w:rPr>
              <w:t>percapita</w:t>
            </w:r>
            <w:proofErr w:type="spellEnd"/>
          </w:p>
        </w:tc>
        <w:tc>
          <w:tcPr>
            <w:tcW w:w="693" w:type="pct"/>
            <w:tcBorders>
              <w:top w:val="nil"/>
              <w:left w:val="nil"/>
              <w:bottom w:val="nil"/>
              <w:right w:val="nil"/>
            </w:tcBorders>
          </w:tcPr>
          <w:p w14:paraId="6F69095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-0.00824**</w:t>
            </w:r>
          </w:p>
        </w:tc>
        <w:tc>
          <w:tcPr>
            <w:tcW w:w="693" w:type="pct"/>
            <w:tcBorders>
              <w:top w:val="nil"/>
              <w:left w:val="nil"/>
              <w:bottom w:val="nil"/>
              <w:right w:val="nil"/>
            </w:tcBorders>
          </w:tcPr>
          <w:p w14:paraId="2B97770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-0.00867**</w:t>
            </w:r>
          </w:p>
        </w:tc>
        <w:tc>
          <w:tcPr>
            <w:tcW w:w="693" w:type="pct"/>
            <w:tcBorders>
              <w:top w:val="nil"/>
              <w:left w:val="nil"/>
              <w:bottom w:val="nil"/>
              <w:right w:val="nil"/>
            </w:tcBorders>
          </w:tcPr>
          <w:p w14:paraId="6CBDA16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-0.00647**</w:t>
            </w:r>
          </w:p>
        </w:tc>
        <w:tc>
          <w:tcPr>
            <w:tcW w:w="693" w:type="pct"/>
            <w:tcBorders>
              <w:top w:val="nil"/>
              <w:left w:val="nil"/>
              <w:bottom w:val="nil"/>
              <w:right w:val="nil"/>
            </w:tcBorders>
          </w:tcPr>
          <w:p w14:paraId="41E5DB2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-0.00648**</w:t>
            </w:r>
          </w:p>
        </w:tc>
        <w:tc>
          <w:tcPr>
            <w:tcW w:w="693" w:type="pct"/>
            <w:tcBorders>
              <w:top w:val="nil"/>
              <w:left w:val="nil"/>
              <w:bottom w:val="nil"/>
              <w:right w:val="nil"/>
            </w:tcBorders>
          </w:tcPr>
          <w:p w14:paraId="2A159FB8"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-0.00700**</w:t>
            </w:r>
          </w:p>
        </w:tc>
        <w:tc>
          <w:tcPr>
            <w:tcW w:w="692" w:type="pct"/>
            <w:tcBorders>
              <w:top w:val="nil"/>
              <w:left w:val="nil"/>
              <w:bottom w:val="nil"/>
              <w:right w:val="nil"/>
            </w:tcBorders>
          </w:tcPr>
          <w:p w14:paraId="1A9D17E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-0.00756**</w:t>
            </w:r>
          </w:p>
        </w:tc>
      </w:tr>
      <w:tr w:rsidR="009B0760" w:rsidRPr="00774092" w14:paraId="60C75291" w14:textId="77777777" w:rsidTr="009B0760">
        <w:tc>
          <w:tcPr>
            <w:tcW w:w="843" w:type="pct"/>
            <w:tcBorders>
              <w:top w:val="nil"/>
              <w:left w:val="nil"/>
              <w:bottom w:val="nil"/>
              <w:right w:val="nil"/>
            </w:tcBorders>
          </w:tcPr>
          <w:p w14:paraId="38D310F0"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143D91B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(0.00278)</w:t>
            </w:r>
          </w:p>
        </w:tc>
        <w:tc>
          <w:tcPr>
            <w:tcW w:w="693" w:type="pct"/>
            <w:tcBorders>
              <w:top w:val="nil"/>
              <w:left w:val="nil"/>
              <w:bottom w:val="nil"/>
              <w:right w:val="nil"/>
            </w:tcBorders>
          </w:tcPr>
          <w:p w14:paraId="190CF59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(0.00317)</w:t>
            </w:r>
          </w:p>
        </w:tc>
        <w:tc>
          <w:tcPr>
            <w:tcW w:w="693" w:type="pct"/>
            <w:tcBorders>
              <w:top w:val="nil"/>
              <w:left w:val="nil"/>
              <w:bottom w:val="nil"/>
              <w:right w:val="nil"/>
            </w:tcBorders>
          </w:tcPr>
          <w:p w14:paraId="2136C4A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(0.00316)</w:t>
            </w:r>
          </w:p>
        </w:tc>
        <w:tc>
          <w:tcPr>
            <w:tcW w:w="693" w:type="pct"/>
            <w:tcBorders>
              <w:top w:val="nil"/>
              <w:left w:val="nil"/>
              <w:bottom w:val="nil"/>
              <w:right w:val="nil"/>
            </w:tcBorders>
          </w:tcPr>
          <w:p w14:paraId="4D23EF5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(0.00320)</w:t>
            </w:r>
          </w:p>
        </w:tc>
        <w:tc>
          <w:tcPr>
            <w:tcW w:w="693" w:type="pct"/>
            <w:tcBorders>
              <w:top w:val="nil"/>
              <w:left w:val="nil"/>
              <w:bottom w:val="nil"/>
              <w:right w:val="nil"/>
            </w:tcBorders>
          </w:tcPr>
          <w:p w14:paraId="76A2F72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(0.00319)</w:t>
            </w:r>
          </w:p>
        </w:tc>
        <w:tc>
          <w:tcPr>
            <w:tcW w:w="692" w:type="pct"/>
            <w:tcBorders>
              <w:top w:val="nil"/>
              <w:left w:val="nil"/>
              <w:bottom w:val="nil"/>
              <w:right w:val="nil"/>
            </w:tcBorders>
          </w:tcPr>
          <w:p w14:paraId="64EFDB9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(0.00314)</w:t>
            </w:r>
          </w:p>
        </w:tc>
      </w:tr>
      <w:tr w:rsidR="009B0760" w:rsidRPr="00774092" w14:paraId="6A0A136B" w14:textId="77777777" w:rsidTr="009B0760">
        <w:tc>
          <w:tcPr>
            <w:tcW w:w="843" w:type="pct"/>
            <w:tcBorders>
              <w:top w:val="nil"/>
              <w:left w:val="nil"/>
              <w:bottom w:val="nil"/>
              <w:right w:val="nil"/>
            </w:tcBorders>
          </w:tcPr>
          <w:p w14:paraId="59B77F68"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6F9FA6D9"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5AD0CC8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1742BD3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7660E77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7E9C212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46B0070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51DDEDAD" w14:textId="77777777" w:rsidTr="009B0760">
        <w:tc>
          <w:tcPr>
            <w:tcW w:w="843" w:type="pct"/>
            <w:tcBorders>
              <w:top w:val="nil"/>
              <w:left w:val="nil"/>
              <w:bottom w:val="nil"/>
              <w:right w:val="nil"/>
            </w:tcBorders>
          </w:tcPr>
          <w:p w14:paraId="1F97F073"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population</w:t>
            </w:r>
          </w:p>
        </w:tc>
        <w:tc>
          <w:tcPr>
            <w:tcW w:w="693" w:type="pct"/>
            <w:tcBorders>
              <w:top w:val="nil"/>
              <w:left w:val="nil"/>
              <w:bottom w:val="nil"/>
              <w:right w:val="nil"/>
            </w:tcBorders>
          </w:tcPr>
          <w:p w14:paraId="22F039E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0.0136*</w:t>
            </w:r>
          </w:p>
        </w:tc>
        <w:tc>
          <w:tcPr>
            <w:tcW w:w="693" w:type="pct"/>
            <w:tcBorders>
              <w:top w:val="nil"/>
              <w:left w:val="nil"/>
              <w:bottom w:val="nil"/>
              <w:right w:val="nil"/>
            </w:tcBorders>
          </w:tcPr>
          <w:p w14:paraId="74EB243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0.0138</w:t>
            </w:r>
          </w:p>
        </w:tc>
        <w:tc>
          <w:tcPr>
            <w:tcW w:w="693" w:type="pct"/>
            <w:tcBorders>
              <w:top w:val="nil"/>
              <w:left w:val="nil"/>
              <w:bottom w:val="nil"/>
              <w:right w:val="nil"/>
            </w:tcBorders>
          </w:tcPr>
          <w:p w14:paraId="7BDA54F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0.0128</w:t>
            </w:r>
          </w:p>
        </w:tc>
        <w:tc>
          <w:tcPr>
            <w:tcW w:w="693" w:type="pct"/>
            <w:tcBorders>
              <w:top w:val="nil"/>
              <w:left w:val="nil"/>
              <w:bottom w:val="nil"/>
              <w:right w:val="nil"/>
            </w:tcBorders>
          </w:tcPr>
          <w:p w14:paraId="01FB282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0.0181**</w:t>
            </w:r>
          </w:p>
        </w:tc>
        <w:tc>
          <w:tcPr>
            <w:tcW w:w="693" w:type="pct"/>
            <w:tcBorders>
              <w:top w:val="nil"/>
              <w:left w:val="nil"/>
              <w:bottom w:val="nil"/>
              <w:right w:val="nil"/>
            </w:tcBorders>
          </w:tcPr>
          <w:p w14:paraId="1B3F591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0.0136</w:t>
            </w:r>
          </w:p>
        </w:tc>
        <w:tc>
          <w:tcPr>
            <w:tcW w:w="692" w:type="pct"/>
            <w:tcBorders>
              <w:top w:val="nil"/>
              <w:left w:val="nil"/>
              <w:bottom w:val="nil"/>
              <w:right w:val="nil"/>
            </w:tcBorders>
          </w:tcPr>
          <w:p w14:paraId="6848F4A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0.0139</w:t>
            </w:r>
          </w:p>
        </w:tc>
      </w:tr>
      <w:tr w:rsidR="009B0760" w:rsidRPr="00774092" w14:paraId="6780D327" w14:textId="77777777" w:rsidTr="009B0760">
        <w:tc>
          <w:tcPr>
            <w:tcW w:w="843" w:type="pct"/>
            <w:tcBorders>
              <w:top w:val="nil"/>
              <w:left w:val="nil"/>
              <w:bottom w:val="nil"/>
              <w:right w:val="nil"/>
            </w:tcBorders>
          </w:tcPr>
          <w:p w14:paraId="49F3E53B"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2CADEB0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(0.00769)</w:t>
            </w:r>
          </w:p>
        </w:tc>
        <w:tc>
          <w:tcPr>
            <w:tcW w:w="693" w:type="pct"/>
            <w:tcBorders>
              <w:top w:val="nil"/>
              <w:left w:val="nil"/>
              <w:bottom w:val="nil"/>
              <w:right w:val="nil"/>
            </w:tcBorders>
          </w:tcPr>
          <w:p w14:paraId="271EB9F9"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(0.00895)</w:t>
            </w:r>
          </w:p>
        </w:tc>
        <w:tc>
          <w:tcPr>
            <w:tcW w:w="693" w:type="pct"/>
            <w:tcBorders>
              <w:top w:val="nil"/>
              <w:left w:val="nil"/>
              <w:bottom w:val="nil"/>
              <w:right w:val="nil"/>
            </w:tcBorders>
          </w:tcPr>
          <w:p w14:paraId="60D1490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(0.00896)</w:t>
            </w:r>
          </w:p>
        </w:tc>
        <w:tc>
          <w:tcPr>
            <w:tcW w:w="693" w:type="pct"/>
            <w:tcBorders>
              <w:top w:val="nil"/>
              <w:left w:val="nil"/>
              <w:bottom w:val="nil"/>
              <w:right w:val="nil"/>
            </w:tcBorders>
          </w:tcPr>
          <w:p w14:paraId="57EBFEB1"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(0.00900)</w:t>
            </w:r>
          </w:p>
        </w:tc>
        <w:tc>
          <w:tcPr>
            <w:tcW w:w="693" w:type="pct"/>
            <w:tcBorders>
              <w:top w:val="nil"/>
              <w:left w:val="nil"/>
              <w:bottom w:val="nil"/>
              <w:right w:val="nil"/>
            </w:tcBorders>
          </w:tcPr>
          <w:p w14:paraId="1396A20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(0.00908)</w:t>
            </w:r>
          </w:p>
        </w:tc>
        <w:tc>
          <w:tcPr>
            <w:tcW w:w="692" w:type="pct"/>
            <w:tcBorders>
              <w:top w:val="nil"/>
              <w:left w:val="nil"/>
              <w:bottom w:val="nil"/>
              <w:right w:val="nil"/>
            </w:tcBorders>
          </w:tcPr>
          <w:p w14:paraId="14D26BD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(0.00905)</w:t>
            </w:r>
          </w:p>
        </w:tc>
      </w:tr>
      <w:tr w:rsidR="009B0760" w:rsidRPr="00774092" w14:paraId="5A797C43" w14:textId="77777777" w:rsidTr="009B0760">
        <w:tc>
          <w:tcPr>
            <w:tcW w:w="843" w:type="pct"/>
            <w:tcBorders>
              <w:top w:val="nil"/>
              <w:left w:val="nil"/>
              <w:bottom w:val="nil"/>
              <w:right w:val="nil"/>
            </w:tcBorders>
          </w:tcPr>
          <w:p w14:paraId="54315F26"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051C28CC"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2455D47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0BC5394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2832C39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3E86422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3FA5E61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07E2EDD4" w14:textId="77777777" w:rsidTr="009B0760">
        <w:tc>
          <w:tcPr>
            <w:tcW w:w="843" w:type="pct"/>
            <w:tcBorders>
              <w:top w:val="nil"/>
              <w:left w:val="nil"/>
              <w:bottom w:val="nil"/>
              <w:right w:val="nil"/>
            </w:tcBorders>
          </w:tcPr>
          <w:p w14:paraId="01A10A1C"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old population</w:t>
            </w:r>
          </w:p>
        </w:tc>
        <w:tc>
          <w:tcPr>
            <w:tcW w:w="693" w:type="pct"/>
            <w:tcBorders>
              <w:top w:val="nil"/>
              <w:left w:val="nil"/>
              <w:bottom w:val="nil"/>
              <w:right w:val="nil"/>
            </w:tcBorders>
          </w:tcPr>
          <w:p w14:paraId="1A0D79A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0.0819</w:t>
            </w:r>
          </w:p>
        </w:tc>
        <w:tc>
          <w:tcPr>
            <w:tcW w:w="693" w:type="pct"/>
            <w:tcBorders>
              <w:top w:val="nil"/>
              <w:left w:val="nil"/>
              <w:bottom w:val="nil"/>
              <w:right w:val="nil"/>
            </w:tcBorders>
          </w:tcPr>
          <w:p w14:paraId="1200352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0.0692</w:t>
            </w:r>
          </w:p>
        </w:tc>
        <w:tc>
          <w:tcPr>
            <w:tcW w:w="693" w:type="pct"/>
            <w:tcBorders>
              <w:top w:val="nil"/>
              <w:left w:val="nil"/>
              <w:bottom w:val="nil"/>
              <w:right w:val="nil"/>
            </w:tcBorders>
          </w:tcPr>
          <w:p w14:paraId="2D044E29"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0.0765</w:t>
            </w:r>
          </w:p>
        </w:tc>
        <w:tc>
          <w:tcPr>
            <w:tcW w:w="693" w:type="pct"/>
            <w:tcBorders>
              <w:top w:val="nil"/>
              <w:left w:val="nil"/>
              <w:bottom w:val="nil"/>
              <w:right w:val="nil"/>
            </w:tcBorders>
          </w:tcPr>
          <w:p w14:paraId="1937381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0.0855</w:t>
            </w:r>
          </w:p>
        </w:tc>
        <w:tc>
          <w:tcPr>
            <w:tcW w:w="693" w:type="pct"/>
            <w:tcBorders>
              <w:top w:val="nil"/>
              <w:left w:val="nil"/>
              <w:bottom w:val="nil"/>
              <w:right w:val="nil"/>
            </w:tcBorders>
          </w:tcPr>
          <w:p w14:paraId="766F036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0.0816</w:t>
            </w:r>
          </w:p>
        </w:tc>
        <w:tc>
          <w:tcPr>
            <w:tcW w:w="692" w:type="pct"/>
            <w:tcBorders>
              <w:top w:val="nil"/>
              <w:left w:val="nil"/>
              <w:bottom w:val="nil"/>
              <w:right w:val="nil"/>
            </w:tcBorders>
          </w:tcPr>
          <w:p w14:paraId="1BE3A94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0.0630</w:t>
            </w:r>
          </w:p>
        </w:tc>
      </w:tr>
      <w:tr w:rsidR="009B0760" w:rsidRPr="00774092" w14:paraId="40ADFF5D" w14:textId="77777777" w:rsidTr="009B0760">
        <w:tc>
          <w:tcPr>
            <w:tcW w:w="843" w:type="pct"/>
            <w:tcBorders>
              <w:top w:val="nil"/>
              <w:left w:val="nil"/>
              <w:bottom w:val="nil"/>
              <w:right w:val="nil"/>
            </w:tcBorders>
          </w:tcPr>
          <w:p w14:paraId="27CAA559"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24361E2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(0.0629)</w:t>
            </w:r>
          </w:p>
        </w:tc>
        <w:tc>
          <w:tcPr>
            <w:tcW w:w="693" w:type="pct"/>
            <w:tcBorders>
              <w:top w:val="nil"/>
              <w:left w:val="nil"/>
              <w:bottom w:val="nil"/>
              <w:right w:val="nil"/>
            </w:tcBorders>
          </w:tcPr>
          <w:p w14:paraId="4B306BD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(0.0704)</w:t>
            </w:r>
          </w:p>
        </w:tc>
        <w:tc>
          <w:tcPr>
            <w:tcW w:w="693" w:type="pct"/>
            <w:tcBorders>
              <w:top w:val="nil"/>
              <w:left w:val="nil"/>
              <w:bottom w:val="nil"/>
              <w:right w:val="nil"/>
            </w:tcBorders>
          </w:tcPr>
          <w:p w14:paraId="1BA588CC"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(0.0700)</w:t>
            </w:r>
          </w:p>
        </w:tc>
        <w:tc>
          <w:tcPr>
            <w:tcW w:w="693" w:type="pct"/>
            <w:tcBorders>
              <w:top w:val="nil"/>
              <w:left w:val="nil"/>
              <w:bottom w:val="nil"/>
              <w:right w:val="nil"/>
            </w:tcBorders>
          </w:tcPr>
          <w:p w14:paraId="387DB95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(0.0708)</w:t>
            </w:r>
          </w:p>
        </w:tc>
        <w:tc>
          <w:tcPr>
            <w:tcW w:w="693" w:type="pct"/>
            <w:tcBorders>
              <w:top w:val="nil"/>
              <w:left w:val="nil"/>
              <w:bottom w:val="nil"/>
              <w:right w:val="nil"/>
            </w:tcBorders>
          </w:tcPr>
          <w:p w14:paraId="4A3C70DC"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(0.0703)</w:t>
            </w:r>
          </w:p>
        </w:tc>
        <w:tc>
          <w:tcPr>
            <w:tcW w:w="692" w:type="pct"/>
            <w:tcBorders>
              <w:top w:val="nil"/>
              <w:left w:val="nil"/>
              <w:bottom w:val="nil"/>
              <w:right w:val="nil"/>
            </w:tcBorders>
          </w:tcPr>
          <w:p w14:paraId="0BC2867C"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(0.0706)</w:t>
            </w:r>
          </w:p>
        </w:tc>
      </w:tr>
      <w:tr w:rsidR="009B0760" w:rsidRPr="00774092" w14:paraId="5F2F3551" w14:textId="77777777" w:rsidTr="009B0760">
        <w:tc>
          <w:tcPr>
            <w:tcW w:w="843" w:type="pct"/>
            <w:tcBorders>
              <w:top w:val="nil"/>
              <w:left w:val="nil"/>
              <w:bottom w:val="nil"/>
              <w:right w:val="nil"/>
            </w:tcBorders>
          </w:tcPr>
          <w:p w14:paraId="6E2A7517"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6DDAD92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7FCAB43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1E70A19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61F3B7D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5DE1278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21B606C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1806D382" w14:textId="77777777" w:rsidTr="009B0760">
        <w:tc>
          <w:tcPr>
            <w:tcW w:w="843" w:type="pct"/>
            <w:tcBorders>
              <w:top w:val="nil"/>
              <w:left w:val="nil"/>
              <w:bottom w:val="nil"/>
              <w:right w:val="nil"/>
            </w:tcBorders>
          </w:tcPr>
          <w:p w14:paraId="311D5EA3"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Gdp</w:t>
            </w:r>
            <w:proofErr w:type="spellEnd"/>
            <w:r w:rsidRPr="00774092">
              <w:rPr>
                <w:rFonts w:ascii="Times New Roman" w:eastAsiaTheme="minorEastAsia" w:hAnsi="Times New Roman" w:cs="Times New Roman"/>
                <w:sz w:val="20"/>
                <w:szCs w:val="20"/>
              </w:rPr>
              <w:t xml:space="preserve"> growth</w:t>
            </w:r>
          </w:p>
        </w:tc>
        <w:tc>
          <w:tcPr>
            <w:tcW w:w="693" w:type="pct"/>
            <w:tcBorders>
              <w:top w:val="nil"/>
              <w:left w:val="nil"/>
              <w:bottom w:val="nil"/>
              <w:right w:val="nil"/>
            </w:tcBorders>
          </w:tcPr>
          <w:p w14:paraId="4EC45081"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-0.0114*</w:t>
            </w:r>
          </w:p>
        </w:tc>
        <w:tc>
          <w:tcPr>
            <w:tcW w:w="693" w:type="pct"/>
            <w:tcBorders>
              <w:top w:val="nil"/>
              <w:left w:val="nil"/>
              <w:bottom w:val="nil"/>
              <w:right w:val="nil"/>
            </w:tcBorders>
          </w:tcPr>
          <w:p w14:paraId="5C515508"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-0.0147*</w:t>
            </w:r>
          </w:p>
        </w:tc>
        <w:tc>
          <w:tcPr>
            <w:tcW w:w="693" w:type="pct"/>
            <w:tcBorders>
              <w:top w:val="nil"/>
              <w:left w:val="nil"/>
              <w:bottom w:val="nil"/>
              <w:right w:val="nil"/>
            </w:tcBorders>
          </w:tcPr>
          <w:p w14:paraId="3737EA8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-0.0152**</w:t>
            </w:r>
          </w:p>
        </w:tc>
        <w:tc>
          <w:tcPr>
            <w:tcW w:w="693" w:type="pct"/>
            <w:tcBorders>
              <w:top w:val="nil"/>
              <w:left w:val="nil"/>
              <w:bottom w:val="nil"/>
              <w:right w:val="nil"/>
            </w:tcBorders>
          </w:tcPr>
          <w:p w14:paraId="772CEF9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-0.0153**</w:t>
            </w:r>
          </w:p>
        </w:tc>
        <w:tc>
          <w:tcPr>
            <w:tcW w:w="693" w:type="pct"/>
            <w:tcBorders>
              <w:top w:val="nil"/>
              <w:left w:val="nil"/>
              <w:bottom w:val="nil"/>
              <w:right w:val="nil"/>
            </w:tcBorders>
          </w:tcPr>
          <w:p w14:paraId="11F1718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-0.0169**</w:t>
            </w:r>
          </w:p>
        </w:tc>
        <w:tc>
          <w:tcPr>
            <w:tcW w:w="692" w:type="pct"/>
            <w:tcBorders>
              <w:top w:val="nil"/>
              <w:left w:val="nil"/>
              <w:bottom w:val="nil"/>
              <w:right w:val="nil"/>
            </w:tcBorders>
          </w:tcPr>
          <w:p w14:paraId="769D9FC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-0.0174**</w:t>
            </w:r>
          </w:p>
        </w:tc>
      </w:tr>
      <w:tr w:rsidR="009B0760" w:rsidRPr="00774092" w14:paraId="7DB9488F" w14:textId="77777777" w:rsidTr="009B0760">
        <w:tc>
          <w:tcPr>
            <w:tcW w:w="843" w:type="pct"/>
            <w:tcBorders>
              <w:top w:val="nil"/>
              <w:left w:val="nil"/>
              <w:bottom w:val="nil"/>
              <w:right w:val="nil"/>
            </w:tcBorders>
          </w:tcPr>
          <w:p w14:paraId="58ECE9C8"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13D18968"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(0.00677)</w:t>
            </w:r>
          </w:p>
        </w:tc>
        <w:tc>
          <w:tcPr>
            <w:tcW w:w="693" w:type="pct"/>
            <w:tcBorders>
              <w:top w:val="nil"/>
              <w:left w:val="nil"/>
              <w:bottom w:val="nil"/>
              <w:right w:val="nil"/>
            </w:tcBorders>
          </w:tcPr>
          <w:p w14:paraId="689115E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(0.00765)</w:t>
            </w:r>
          </w:p>
        </w:tc>
        <w:tc>
          <w:tcPr>
            <w:tcW w:w="693" w:type="pct"/>
            <w:tcBorders>
              <w:top w:val="nil"/>
              <w:left w:val="nil"/>
              <w:bottom w:val="nil"/>
              <w:right w:val="nil"/>
            </w:tcBorders>
          </w:tcPr>
          <w:p w14:paraId="2101FE7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(0.00760)</w:t>
            </w:r>
          </w:p>
        </w:tc>
        <w:tc>
          <w:tcPr>
            <w:tcW w:w="693" w:type="pct"/>
            <w:tcBorders>
              <w:top w:val="nil"/>
              <w:left w:val="nil"/>
              <w:bottom w:val="nil"/>
              <w:right w:val="nil"/>
            </w:tcBorders>
          </w:tcPr>
          <w:p w14:paraId="648BA98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(0.00768)</w:t>
            </w:r>
          </w:p>
        </w:tc>
        <w:tc>
          <w:tcPr>
            <w:tcW w:w="693" w:type="pct"/>
            <w:tcBorders>
              <w:top w:val="nil"/>
              <w:left w:val="nil"/>
              <w:bottom w:val="nil"/>
              <w:right w:val="nil"/>
            </w:tcBorders>
          </w:tcPr>
          <w:p w14:paraId="5CF4079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(0.00767)</w:t>
            </w:r>
          </w:p>
        </w:tc>
        <w:tc>
          <w:tcPr>
            <w:tcW w:w="692" w:type="pct"/>
            <w:tcBorders>
              <w:top w:val="nil"/>
              <w:left w:val="nil"/>
              <w:bottom w:val="nil"/>
              <w:right w:val="nil"/>
            </w:tcBorders>
          </w:tcPr>
          <w:p w14:paraId="18D35039"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(0.00765)</w:t>
            </w:r>
          </w:p>
        </w:tc>
      </w:tr>
      <w:tr w:rsidR="009B0760" w:rsidRPr="00774092" w14:paraId="10C1054E" w14:textId="77777777" w:rsidTr="009B0760">
        <w:tc>
          <w:tcPr>
            <w:tcW w:w="843" w:type="pct"/>
            <w:tcBorders>
              <w:top w:val="nil"/>
              <w:left w:val="nil"/>
              <w:bottom w:val="nil"/>
              <w:right w:val="nil"/>
            </w:tcBorders>
          </w:tcPr>
          <w:p w14:paraId="48219C72"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4C7B9D0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3D44DB2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15995D4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379C90B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0C6966A0"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4292B1E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57C50448" w14:textId="77777777" w:rsidTr="009B0760">
        <w:tc>
          <w:tcPr>
            <w:tcW w:w="843" w:type="pct"/>
            <w:tcBorders>
              <w:top w:val="nil"/>
              <w:left w:val="nil"/>
              <w:bottom w:val="nil"/>
              <w:right w:val="nil"/>
            </w:tcBorders>
          </w:tcPr>
          <w:p w14:paraId="57F52EE4"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govtsize</w:t>
            </w:r>
            <w:proofErr w:type="spellEnd"/>
          </w:p>
        </w:tc>
        <w:tc>
          <w:tcPr>
            <w:tcW w:w="693" w:type="pct"/>
            <w:tcBorders>
              <w:top w:val="nil"/>
              <w:left w:val="nil"/>
              <w:bottom w:val="nil"/>
              <w:right w:val="nil"/>
            </w:tcBorders>
          </w:tcPr>
          <w:p w14:paraId="7414CB7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0.0611**</w:t>
            </w:r>
          </w:p>
        </w:tc>
        <w:tc>
          <w:tcPr>
            <w:tcW w:w="693" w:type="pct"/>
            <w:tcBorders>
              <w:top w:val="nil"/>
              <w:left w:val="nil"/>
              <w:bottom w:val="nil"/>
              <w:right w:val="nil"/>
            </w:tcBorders>
          </w:tcPr>
          <w:p w14:paraId="5CCDE6D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0.0487**</w:t>
            </w:r>
          </w:p>
        </w:tc>
        <w:tc>
          <w:tcPr>
            <w:tcW w:w="693" w:type="pct"/>
            <w:tcBorders>
              <w:top w:val="nil"/>
              <w:left w:val="nil"/>
              <w:bottom w:val="nil"/>
              <w:right w:val="nil"/>
            </w:tcBorders>
          </w:tcPr>
          <w:p w14:paraId="621D03C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0.0497**</w:t>
            </w:r>
          </w:p>
        </w:tc>
        <w:tc>
          <w:tcPr>
            <w:tcW w:w="693" w:type="pct"/>
            <w:tcBorders>
              <w:top w:val="nil"/>
              <w:left w:val="nil"/>
              <w:bottom w:val="nil"/>
              <w:right w:val="nil"/>
            </w:tcBorders>
          </w:tcPr>
          <w:p w14:paraId="0E27661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0.0543**</w:t>
            </w:r>
          </w:p>
        </w:tc>
        <w:tc>
          <w:tcPr>
            <w:tcW w:w="693" w:type="pct"/>
            <w:tcBorders>
              <w:top w:val="nil"/>
              <w:left w:val="nil"/>
              <w:bottom w:val="nil"/>
              <w:right w:val="nil"/>
            </w:tcBorders>
          </w:tcPr>
          <w:p w14:paraId="1884C7B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0.0506**</w:t>
            </w:r>
          </w:p>
        </w:tc>
        <w:tc>
          <w:tcPr>
            <w:tcW w:w="692" w:type="pct"/>
            <w:tcBorders>
              <w:top w:val="nil"/>
              <w:left w:val="nil"/>
              <w:bottom w:val="nil"/>
              <w:right w:val="nil"/>
            </w:tcBorders>
          </w:tcPr>
          <w:p w14:paraId="38EF84C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0.0485**</w:t>
            </w:r>
          </w:p>
        </w:tc>
      </w:tr>
      <w:tr w:rsidR="009B0760" w:rsidRPr="00774092" w14:paraId="377AEE32" w14:textId="77777777" w:rsidTr="009B0760">
        <w:tc>
          <w:tcPr>
            <w:tcW w:w="843" w:type="pct"/>
            <w:tcBorders>
              <w:top w:val="nil"/>
              <w:left w:val="nil"/>
              <w:bottom w:val="nil"/>
              <w:right w:val="nil"/>
            </w:tcBorders>
          </w:tcPr>
          <w:p w14:paraId="3C421706"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4E7A04F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(0.0121)</w:t>
            </w:r>
          </w:p>
        </w:tc>
        <w:tc>
          <w:tcPr>
            <w:tcW w:w="693" w:type="pct"/>
            <w:tcBorders>
              <w:top w:val="nil"/>
              <w:left w:val="nil"/>
              <w:bottom w:val="nil"/>
              <w:right w:val="nil"/>
            </w:tcBorders>
          </w:tcPr>
          <w:p w14:paraId="3A1E468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(0.0136)</w:t>
            </w:r>
          </w:p>
        </w:tc>
        <w:tc>
          <w:tcPr>
            <w:tcW w:w="693" w:type="pct"/>
            <w:tcBorders>
              <w:top w:val="nil"/>
              <w:left w:val="nil"/>
              <w:bottom w:val="nil"/>
              <w:right w:val="nil"/>
            </w:tcBorders>
          </w:tcPr>
          <w:p w14:paraId="3683D8F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(0.0133)</w:t>
            </w:r>
          </w:p>
        </w:tc>
        <w:tc>
          <w:tcPr>
            <w:tcW w:w="693" w:type="pct"/>
            <w:tcBorders>
              <w:top w:val="nil"/>
              <w:left w:val="nil"/>
              <w:bottom w:val="nil"/>
              <w:right w:val="nil"/>
            </w:tcBorders>
          </w:tcPr>
          <w:p w14:paraId="7B268F1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(0.0135)</w:t>
            </w:r>
          </w:p>
        </w:tc>
        <w:tc>
          <w:tcPr>
            <w:tcW w:w="693" w:type="pct"/>
            <w:tcBorders>
              <w:top w:val="nil"/>
              <w:left w:val="nil"/>
              <w:bottom w:val="nil"/>
              <w:right w:val="nil"/>
            </w:tcBorders>
          </w:tcPr>
          <w:p w14:paraId="114C0A4C"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(0.0136)</w:t>
            </w:r>
          </w:p>
        </w:tc>
        <w:tc>
          <w:tcPr>
            <w:tcW w:w="692" w:type="pct"/>
            <w:tcBorders>
              <w:top w:val="nil"/>
              <w:left w:val="nil"/>
              <w:bottom w:val="nil"/>
              <w:right w:val="nil"/>
            </w:tcBorders>
          </w:tcPr>
          <w:p w14:paraId="2D33CE3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(0.0134)</w:t>
            </w:r>
          </w:p>
        </w:tc>
      </w:tr>
      <w:tr w:rsidR="009B0760" w:rsidRPr="00774092" w14:paraId="13B848C5" w14:textId="77777777" w:rsidTr="009B0760">
        <w:tc>
          <w:tcPr>
            <w:tcW w:w="843" w:type="pct"/>
            <w:tcBorders>
              <w:top w:val="nil"/>
              <w:left w:val="nil"/>
              <w:bottom w:val="nil"/>
              <w:right w:val="nil"/>
            </w:tcBorders>
          </w:tcPr>
          <w:p w14:paraId="0210C252"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57FB623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61F381B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55C440F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64FE1F3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04019EF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4D3C0C7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4F5FF18A" w14:textId="77777777" w:rsidTr="009B0760">
        <w:tc>
          <w:tcPr>
            <w:tcW w:w="843" w:type="pct"/>
            <w:tcBorders>
              <w:top w:val="nil"/>
              <w:left w:val="nil"/>
              <w:bottom w:val="nil"/>
              <w:right w:val="nil"/>
            </w:tcBorders>
          </w:tcPr>
          <w:p w14:paraId="1FCC5EDF"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openness</w:t>
            </w:r>
          </w:p>
        </w:tc>
        <w:tc>
          <w:tcPr>
            <w:tcW w:w="693" w:type="pct"/>
            <w:tcBorders>
              <w:top w:val="nil"/>
              <w:left w:val="nil"/>
              <w:bottom w:val="nil"/>
              <w:right w:val="nil"/>
            </w:tcBorders>
          </w:tcPr>
          <w:p w14:paraId="7E60586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-0.00490*</w:t>
            </w:r>
          </w:p>
        </w:tc>
        <w:tc>
          <w:tcPr>
            <w:tcW w:w="693" w:type="pct"/>
            <w:tcBorders>
              <w:top w:val="nil"/>
              <w:left w:val="nil"/>
              <w:bottom w:val="nil"/>
              <w:right w:val="nil"/>
            </w:tcBorders>
          </w:tcPr>
          <w:p w14:paraId="512CDEAE"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-0.00688**</w:t>
            </w:r>
          </w:p>
        </w:tc>
        <w:tc>
          <w:tcPr>
            <w:tcW w:w="693" w:type="pct"/>
            <w:tcBorders>
              <w:top w:val="nil"/>
              <w:left w:val="nil"/>
              <w:bottom w:val="nil"/>
              <w:right w:val="nil"/>
            </w:tcBorders>
          </w:tcPr>
          <w:p w14:paraId="4167A2E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-0.00661**</w:t>
            </w:r>
          </w:p>
        </w:tc>
        <w:tc>
          <w:tcPr>
            <w:tcW w:w="693" w:type="pct"/>
            <w:tcBorders>
              <w:top w:val="nil"/>
              <w:left w:val="nil"/>
              <w:bottom w:val="nil"/>
              <w:right w:val="nil"/>
            </w:tcBorders>
          </w:tcPr>
          <w:p w14:paraId="3FE28FF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-0.00762**</w:t>
            </w:r>
          </w:p>
        </w:tc>
        <w:tc>
          <w:tcPr>
            <w:tcW w:w="693" w:type="pct"/>
            <w:tcBorders>
              <w:top w:val="nil"/>
              <w:left w:val="nil"/>
              <w:bottom w:val="nil"/>
              <w:right w:val="nil"/>
            </w:tcBorders>
          </w:tcPr>
          <w:p w14:paraId="71BA4BE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-0.00662**</w:t>
            </w:r>
          </w:p>
        </w:tc>
        <w:tc>
          <w:tcPr>
            <w:tcW w:w="692" w:type="pct"/>
            <w:tcBorders>
              <w:top w:val="nil"/>
              <w:left w:val="nil"/>
              <w:bottom w:val="nil"/>
              <w:right w:val="nil"/>
            </w:tcBorders>
          </w:tcPr>
          <w:p w14:paraId="12FEADD8"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-0.00733**</w:t>
            </w:r>
          </w:p>
        </w:tc>
      </w:tr>
      <w:tr w:rsidR="009B0760" w:rsidRPr="00774092" w14:paraId="26F70508" w14:textId="77777777" w:rsidTr="009B0760">
        <w:tc>
          <w:tcPr>
            <w:tcW w:w="843" w:type="pct"/>
            <w:tcBorders>
              <w:top w:val="nil"/>
              <w:left w:val="nil"/>
              <w:bottom w:val="nil"/>
              <w:right w:val="nil"/>
            </w:tcBorders>
          </w:tcPr>
          <w:p w14:paraId="2EC20C35"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655B154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(0.00253)</w:t>
            </w:r>
          </w:p>
        </w:tc>
        <w:tc>
          <w:tcPr>
            <w:tcW w:w="693" w:type="pct"/>
            <w:tcBorders>
              <w:top w:val="nil"/>
              <w:left w:val="nil"/>
              <w:bottom w:val="nil"/>
              <w:right w:val="nil"/>
            </w:tcBorders>
          </w:tcPr>
          <w:p w14:paraId="724B742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(0.00292)</w:t>
            </w:r>
          </w:p>
        </w:tc>
        <w:tc>
          <w:tcPr>
            <w:tcW w:w="693" w:type="pct"/>
            <w:tcBorders>
              <w:top w:val="nil"/>
              <w:left w:val="nil"/>
              <w:bottom w:val="nil"/>
              <w:right w:val="nil"/>
            </w:tcBorders>
          </w:tcPr>
          <w:p w14:paraId="53B484B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(0.00289)</w:t>
            </w:r>
          </w:p>
        </w:tc>
        <w:tc>
          <w:tcPr>
            <w:tcW w:w="693" w:type="pct"/>
            <w:tcBorders>
              <w:top w:val="nil"/>
              <w:left w:val="nil"/>
              <w:bottom w:val="nil"/>
              <w:right w:val="nil"/>
            </w:tcBorders>
          </w:tcPr>
          <w:p w14:paraId="4F552EE3"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(0.00290)</w:t>
            </w:r>
          </w:p>
        </w:tc>
        <w:tc>
          <w:tcPr>
            <w:tcW w:w="693" w:type="pct"/>
            <w:tcBorders>
              <w:top w:val="nil"/>
              <w:left w:val="nil"/>
              <w:bottom w:val="nil"/>
              <w:right w:val="nil"/>
            </w:tcBorders>
          </w:tcPr>
          <w:p w14:paraId="11F48758"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(0.00289)</w:t>
            </w:r>
          </w:p>
        </w:tc>
        <w:tc>
          <w:tcPr>
            <w:tcW w:w="692" w:type="pct"/>
            <w:tcBorders>
              <w:top w:val="nil"/>
              <w:left w:val="nil"/>
              <w:bottom w:val="nil"/>
              <w:right w:val="nil"/>
            </w:tcBorders>
          </w:tcPr>
          <w:p w14:paraId="6CF8FC61"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(0.00291)</w:t>
            </w:r>
          </w:p>
        </w:tc>
      </w:tr>
      <w:tr w:rsidR="009B0760" w:rsidRPr="00774092" w14:paraId="46238894" w14:textId="77777777" w:rsidTr="009B0760">
        <w:tc>
          <w:tcPr>
            <w:tcW w:w="843" w:type="pct"/>
            <w:tcBorders>
              <w:top w:val="nil"/>
              <w:left w:val="nil"/>
              <w:bottom w:val="nil"/>
              <w:right w:val="nil"/>
            </w:tcBorders>
          </w:tcPr>
          <w:p w14:paraId="6D88DE0B"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36BB398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479B528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2CBAC8E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14B961E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26ED2ED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742B8F40"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713B5784" w14:textId="77777777" w:rsidTr="009B0760">
        <w:tc>
          <w:tcPr>
            <w:tcW w:w="843" w:type="pct"/>
            <w:tcBorders>
              <w:top w:val="nil"/>
              <w:left w:val="nil"/>
              <w:bottom w:val="nil"/>
              <w:right w:val="nil"/>
            </w:tcBorders>
          </w:tcPr>
          <w:p w14:paraId="5C3B7932"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774092">
              <w:rPr>
                <w:rFonts w:ascii="Times New Roman" w:eastAsiaTheme="minorEastAsia" w:hAnsi="Times New Roman" w:cs="Times New Roman"/>
                <w:sz w:val="20"/>
                <w:szCs w:val="20"/>
              </w:rPr>
              <w:t>schoolage</w:t>
            </w:r>
            <w:proofErr w:type="spellEnd"/>
          </w:p>
        </w:tc>
        <w:tc>
          <w:tcPr>
            <w:tcW w:w="693" w:type="pct"/>
            <w:tcBorders>
              <w:top w:val="nil"/>
              <w:left w:val="nil"/>
              <w:bottom w:val="nil"/>
              <w:right w:val="nil"/>
            </w:tcBorders>
          </w:tcPr>
          <w:p w14:paraId="70A54E6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0.0109</w:t>
            </w:r>
          </w:p>
        </w:tc>
        <w:tc>
          <w:tcPr>
            <w:tcW w:w="693" w:type="pct"/>
            <w:tcBorders>
              <w:top w:val="nil"/>
              <w:left w:val="nil"/>
              <w:bottom w:val="nil"/>
              <w:right w:val="nil"/>
            </w:tcBorders>
          </w:tcPr>
          <w:p w14:paraId="10BE8E9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0.0142</w:t>
            </w:r>
          </w:p>
        </w:tc>
        <w:tc>
          <w:tcPr>
            <w:tcW w:w="693" w:type="pct"/>
            <w:tcBorders>
              <w:top w:val="nil"/>
              <w:left w:val="nil"/>
              <w:bottom w:val="nil"/>
              <w:right w:val="nil"/>
            </w:tcBorders>
          </w:tcPr>
          <w:p w14:paraId="79709BA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0.0107</w:t>
            </w:r>
          </w:p>
        </w:tc>
        <w:tc>
          <w:tcPr>
            <w:tcW w:w="693" w:type="pct"/>
            <w:tcBorders>
              <w:top w:val="nil"/>
              <w:left w:val="nil"/>
              <w:bottom w:val="nil"/>
              <w:right w:val="nil"/>
            </w:tcBorders>
          </w:tcPr>
          <w:p w14:paraId="7010585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0.0127</w:t>
            </w:r>
          </w:p>
        </w:tc>
        <w:tc>
          <w:tcPr>
            <w:tcW w:w="693" w:type="pct"/>
            <w:tcBorders>
              <w:top w:val="nil"/>
              <w:left w:val="nil"/>
              <w:bottom w:val="nil"/>
              <w:right w:val="nil"/>
            </w:tcBorders>
          </w:tcPr>
          <w:p w14:paraId="3E19F96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0.0124</w:t>
            </w:r>
          </w:p>
        </w:tc>
        <w:tc>
          <w:tcPr>
            <w:tcW w:w="692" w:type="pct"/>
            <w:tcBorders>
              <w:top w:val="nil"/>
              <w:left w:val="nil"/>
              <w:bottom w:val="nil"/>
              <w:right w:val="nil"/>
            </w:tcBorders>
          </w:tcPr>
          <w:p w14:paraId="0582426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0.0139</w:t>
            </w:r>
          </w:p>
        </w:tc>
      </w:tr>
      <w:tr w:rsidR="009B0760" w:rsidRPr="00774092" w14:paraId="096721AF" w14:textId="77777777" w:rsidTr="009B0760">
        <w:tc>
          <w:tcPr>
            <w:tcW w:w="843" w:type="pct"/>
            <w:tcBorders>
              <w:top w:val="nil"/>
              <w:left w:val="nil"/>
              <w:bottom w:val="nil"/>
              <w:right w:val="nil"/>
            </w:tcBorders>
          </w:tcPr>
          <w:p w14:paraId="0C994FD4"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709828A4"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(0.00904)</w:t>
            </w:r>
          </w:p>
        </w:tc>
        <w:tc>
          <w:tcPr>
            <w:tcW w:w="693" w:type="pct"/>
            <w:tcBorders>
              <w:top w:val="nil"/>
              <w:left w:val="nil"/>
              <w:bottom w:val="nil"/>
              <w:right w:val="nil"/>
            </w:tcBorders>
          </w:tcPr>
          <w:p w14:paraId="185C175D"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(0.00967)</w:t>
            </w:r>
          </w:p>
        </w:tc>
        <w:tc>
          <w:tcPr>
            <w:tcW w:w="693" w:type="pct"/>
            <w:tcBorders>
              <w:top w:val="nil"/>
              <w:left w:val="nil"/>
              <w:bottom w:val="nil"/>
              <w:right w:val="nil"/>
            </w:tcBorders>
          </w:tcPr>
          <w:p w14:paraId="1FF900F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(0.00963)</w:t>
            </w:r>
          </w:p>
        </w:tc>
        <w:tc>
          <w:tcPr>
            <w:tcW w:w="693" w:type="pct"/>
            <w:tcBorders>
              <w:top w:val="nil"/>
              <w:left w:val="nil"/>
              <w:bottom w:val="nil"/>
              <w:right w:val="nil"/>
            </w:tcBorders>
          </w:tcPr>
          <w:p w14:paraId="2EA69D5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(0.00968)</w:t>
            </w:r>
          </w:p>
        </w:tc>
        <w:tc>
          <w:tcPr>
            <w:tcW w:w="693" w:type="pct"/>
            <w:tcBorders>
              <w:top w:val="nil"/>
              <w:left w:val="nil"/>
              <w:bottom w:val="nil"/>
              <w:right w:val="nil"/>
            </w:tcBorders>
          </w:tcPr>
          <w:p w14:paraId="48EF8A8B"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(0.00965)</w:t>
            </w:r>
          </w:p>
        </w:tc>
        <w:tc>
          <w:tcPr>
            <w:tcW w:w="692" w:type="pct"/>
            <w:tcBorders>
              <w:top w:val="nil"/>
              <w:left w:val="nil"/>
              <w:bottom w:val="nil"/>
              <w:right w:val="nil"/>
            </w:tcBorders>
          </w:tcPr>
          <w:p w14:paraId="28A2D236"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(0.00967)</w:t>
            </w:r>
          </w:p>
        </w:tc>
      </w:tr>
      <w:tr w:rsidR="009B0760" w:rsidRPr="00774092" w14:paraId="0BFA168F" w14:textId="77777777" w:rsidTr="009B0760">
        <w:tc>
          <w:tcPr>
            <w:tcW w:w="843" w:type="pct"/>
            <w:tcBorders>
              <w:top w:val="nil"/>
              <w:left w:val="nil"/>
              <w:bottom w:val="nil"/>
              <w:right w:val="nil"/>
            </w:tcBorders>
          </w:tcPr>
          <w:p w14:paraId="5483F5AA"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693" w:type="pct"/>
            <w:tcBorders>
              <w:top w:val="nil"/>
              <w:left w:val="nil"/>
              <w:bottom w:val="nil"/>
              <w:right w:val="nil"/>
            </w:tcBorders>
          </w:tcPr>
          <w:p w14:paraId="65745259"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3A88072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0F868549"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36B4048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3" w:type="pct"/>
            <w:tcBorders>
              <w:top w:val="nil"/>
              <w:left w:val="nil"/>
              <w:bottom w:val="nil"/>
              <w:right w:val="nil"/>
            </w:tcBorders>
          </w:tcPr>
          <w:p w14:paraId="331DB18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92" w:type="pct"/>
            <w:tcBorders>
              <w:top w:val="nil"/>
              <w:left w:val="nil"/>
              <w:bottom w:val="nil"/>
              <w:right w:val="nil"/>
            </w:tcBorders>
          </w:tcPr>
          <w:p w14:paraId="1530CB7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774092" w14:paraId="0DD599C1" w14:textId="77777777" w:rsidTr="009B0760">
        <w:tc>
          <w:tcPr>
            <w:tcW w:w="843" w:type="pct"/>
            <w:tcBorders>
              <w:top w:val="single" w:sz="4" w:space="0" w:color="auto"/>
              <w:left w:val="nil"/>
              <w:bottom w:val="nil"/>
              <w:right w:val="nil"/>
            </w:tcBorders>
          </w:tcPr>
          <w:p w14:paraId="14401144"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Observations</w:t>
            </w:r>
          </w:p>
        </w:tc>
        <w:tc>
          <w:tcPr>
            <w:tcW w:w="693" w:type="pct"/>
            <w:tcBorders>
              <w:top w:val="single" w:sz="4" w:space="0" w:color="auto"/>
              <w:left w:val="nil"/>
              <w:bottom w:val="nil"/>
              <w:right w:val="nil"/>
            </w:tcBorders>
          </w:tcPr>
          <w:p w14:paraId="78E322B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1012</w:t>
            </w:r>
          </w:p>
        </w:tc>
        <w:tc>
          <w:tcPr>
            <w:tcW w:w="693" w:type="pct"/>
            <w:tcBorders>
              <w:top w:val="single" w:sz="4" w:space="0" w:color="auto"/>
              <w:left w:val="nil"/>
              <w:bottom w:val="nil"/>
              <w:right w:val="nil"/>
            </w:tcBorders>
          </w:tcPr>
          <w:p w14:paraId="3CB7851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826</w:t>
            </w:r>
          </w:p>
        </w:tc>
        <w:tc>
          <w:tcPr>
            <w:tcW w:w="693" w:type="pct"/>
            <w:tcBorders>
              <w:top w:val="single" w:sz="4" w:space="0" w:color="auto"/>
              <w:left w:val="nil"/>
              <w:bottom w:val="nil"/>
              <w:right w:val="nil"/>
            </w:tcBorders>
          </w:tcPr>
          <w:p w14:paraId="677ACA6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826</w:t>
            </w:r>
          </w:p>
        </w:tc>
        <w:tc>
          <w:tcPr>
            <w:tcW w:w="693" w:type="pct"/>
            <w:tcBorders>
              <w:top w:val="single" w:sz="4" w:space="0" w:color="auto"/>
              <w:left w:val="nil"/>
              <w:bottom w:val="nil"/>
              <w:right w:val="nil"/>
            </w:tcBorders>
          </w:tcPr>
          <w:p w14:paraId="6CB3D0F2"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824</w:t>
            </w:r>
          </w:p>
        </w:tc>
        <w:tc>
          <w:tcPr>
            <w:tcW w:w="693" w:type="pct"/>
            <w:tcBorders>
              <w:top w:val="single" w:sz="4" w:space="0" w:color="auto"/>
              <w:left w:val="nil"/>
              <w:bottom w:val="nil"/>
              <w:right w:val="nil"/>
            </w:tcBorders>
          </w:tcPr>
          <w:p w14:paraId="4963B399"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826</w:t>
            </w:r>
          </w:p>
        </w:tc>
        <w:tc>
          <w:tcPr>
            <w:tcW w:w="692" w:type="pct"/>
            <w:tcBorders>
              <w:top w:val="single" w:sz="4" w:space="0" w:color="auto"/>
              <w:left w:val="nil"/>
              <w:bottom w:val="nil"/>
              <w:right w:val="nil"/>
            </w:tcBorders>
          </w:tcPr>
          <w:p w14:paraId="10EDCCC7"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826</w:t>
            </w:r>
          </w:p>
        </w:tc>
      </w:tr>
      <w:tr w:rsidR="009B0760" w:rsidRPr="00774092" w14:paraId="4B8CACF3" w14:textId="77777777" w:rsidTr="009B0760">
        <w:tc>
          <w:tcPr>
            <w:tcW w:w="843" w:type="pct"/>
            <w:tcBorders>
              <w:top w:val="nil"/>
              <w:left w:val="nil"/>
              <w:bottom w:val="single" w:sz="4" w:space="0" w:color="auto"/>
              <w:right w:val="nil"/>
            </w:tcBorders>
          </w:tcPr>
          <w:p w14:paraId="56784213"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774092">
              <w:rPr>
                <w:rFonts w:ascii="Times New Roman" w:eastAsiaTheme="minorEastAsia" w:hAnsi="Times New Roman" w:cs="Times New Roman"/>
                <w:i/>
                <w:iCs/>
                <w:sz w:val="20"/>
                <w:szCs w:val="20"/>
              </w:rPr>
              <w:t>R</w:t>
            </w:r>
            <w:r w:rsidRPr="00774092">
              <w:rPr>
                <w:rFonts w:ascii="Times New Roman" w:eastAsiaTheme="minorEastAsia" w:hAnsi="Times New Roman" w:cs="Times New Roman"/>
                <w:sz w:val="20"/>
                <w:szCs w:val="20"/>
                <w:vertAlign w:val="superscript"/>
              </w:rPr>
              <w:t>2</w:t>
            </w:r>
          </w:p>
        </w:tc>
        <w:tc>
          <w:tcPr>
            <w:tcW w:w="693" w:type="pct"/>
            <w:tcBorders>
              <w:top w:val="nil"/>
              <w:left w:val="nil"/>
              <w:bottom w:val="single" w:sz="4" w:space="0" w:color="auto"/>
              <w:right w:val="nil"/>
            </w:tcBorders>
          </w:tcPr>
          <w:p w14:paraId="5E8BBF3F"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0.188</w:t>
            </w:r>
          </w:p>
        </w:tc>
        <w:tc>
          <w:tcPr>
            <w:tcW w:w="693" w:type="pct"/>
            <w:tcBorders>
              <w:top w:val="nil"/>
              <w:left w:val="nil"/>
              <w:bottom w:val="single" w:sz="4" w:space="0" w:color="auto"/>
              <w:right w:val="nil"/>
            </w:tcBorders>
          </w:tcPr>
          <w:p w14:paraId="3234C6C1"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0.198</w:t>
            </w:r>
          </w:p>
        </w:tc>
        <w:tc>
          <w:tcPr>
            <w:tcW w:w="693" w:type="pct"/>
            <w:tcBorders>
              <w:top w:val="nil"/>
              <w:left w:val="nil"/>
              <w:bottom w:val="single" w:sz="4" w:space="0" w:color="auto"/>
              <w:right w:val="nil"/>
            </w:tcBorders>
          </w:tcPr>
          <w:p w14:paraId="2DB99F0C"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0.206</w:t>
            </w:r>
          </w:p>
        </w:tc>
        <w:tc>
          <w:tcPr>
            <w:tcW w:w="693" w:type="pct"/>
            <w:tcBorders>
              <w:top w:val="nil"/>
              <w:left w:val="nil"/>
              <w:bottom w:val="single" w:sz="4" w:space="0" w:color="auto"/>
              <w:right w:val="nil"/>
            </w:tcBorders>
          </w:tcPr>
          <w:p w14:paraId="45176D6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0.194</w:t>
            </w:r>
          </w:p>
        </w:tc>
        <w:tc>
          <w:tcPr>
            <w:tcW w:w="693" w:type="pct"/>
            <w:tcBorders>
              <w:top w:val="nil"/>
              <w:left w:val="nil"/>
              <w:bottom w:val="single" w:sz="4" w:space="0" w:color="auto"/>
              <w:right w:val="nil"/>
            </w:tcBorders>
          </w:tcPr>
          <w:p w14:paraId="2ECC93F5"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0.198</w:t>
            </w:r>
          </w:p>
        </w:tc>
        <w:tc>
          <w:tcPr>
            <w:tcW w:w="692" w:type="pct"/>
            <w:tcBorders>
              <w:top w:val="nil"/>
              <w:left w:val="nil"/>
              <w:bottom w:val="single" w:sz="4" w:space="0" w:color="auto"/>
              <w:right w:val="nil"/>
            </w:tcBorders>
          </w:tcPr>
          <w:p w14:paraId="7954F6CA" w14:textId="77777777" w:rsidR="009B0760" w:rsidRPr="00774092"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774092">
              <w:rPr>
                <w:rFonts w:ascii="Times New Roman" w:eastAsiaTheme="minorEastAsia" w:hAnsi="Times New Roman" w:cs="Times New Roman"/>
                <w:sz w:val="20"/>
                <w:szCs w:val="20"/>
              </w:rPr>
              <w:t>0.201</w:t>
            </w:r>
          </w:p>
        </w:tc>
      </w:tr>
    </w:tbl>
    <w:p w14:paraId="0E5C7AAE" w14:textId="77777777" w:rsidR="00AE62A4" w:rsidRDefault="009B0760" w:rsidP="009B0760">
      <w:pPr>
        <w:widowControl w:val="0"/>
        <w:autoSpaceDE w:val="0"/>
        <w:autoSpaceDN w:val="0"/>
        <w:adjustRightInd w:val="0"/>
        <w:spacing w:after="0" w:line="240" w:lineRule="auto"/>
        <w:rPr>
          <w:rFonts w:ascii="Times New Roman" w:eastAsiaTheme="minorEastAsia" w:hAnsi="Times New Roman" w:cs="Times New Roman"/>
          <w:i/>
          <w:sz w:val="16"/>
          <w:szCs w:val="16"/>
        </w:rPr>
        <w:sectPr w:rsidR="00AE62A4" w:rsidSect="00AE62A4">
          <w:pgSz w:w="15840" w:h="12240" w:orient="landscape"/>
          <w:pgMar w:top="1440" w:right="1800" w:bottom="2160" w:left="1440" w:header="720" w:footer="720" w:gutter="0"/>
          <w:cols w:space="720"/>
          <w:noEndnote/>
        </w:sectPr>
      </w:pPr>
      <w:r w:rsidRPr="00774092">
        <w:rPr>
          <w:rFonts w:ascii="Times New Roman" w:eastAsiaTheme="minorEastAsia" w:hAnsi="Times New Roman" w:cs="Times New Roman"/>
          <w:i/>
          <w:sz w:val="16"/>
          <w:szCs w:val="16"/>
        </w:rPr>
        <w:t>Note:</w:t>
      </w:r>
      <w:r w:rsidRPr="00774092">
        <w:rPr>
          <w:rFonts w:eastAsiaTheme="minorEastAsia"/>
          <w:sz w:val="16"/>
          <w:szCs w:val="16"/>
        </w:rPr>
        <w:t xml:space="preserve"> </w:t>
      </w:r>
      <w:r w:rsidRPr="00774092">
        <w:rPr>
          <w:rFonts w:ascii="Times New Roman" w:eastAsiaTheme="minorEastAsia" w:hAnsi="Times New Roman" w:cs="Times New Roman"/>
          <w:i/>
          <w:sz w:val="16"/>
          <w:szCs w:val="16"/>
        </w:rPr>
        <w:t>Public education spending is the dependent variable. Fixed effects model is used in all estimations. Point estimates are reported.  Standard errors are shown in parentheses. * Significant at 10%; ** significant at 5%. All regressions include a constant term and year fixed effects (not reported).</w:t>
      </w:r>
    </w:p>
    <w:p w14:paraId="289EC707" w14:textId="77777777" w:rsidR="009B0760" w:rsidRPr="00686C7B" w:rsidRDefault="009B0760" w:rsidP="009B0760">
      <w:pPr>
        <w:keepNext/>
        <w:widowControl w:val="0"/>
        <w:autoSpaceDE w:val="0"/>
        <w:autoSpaceDN w:val="0"/>
        <w:adjustRightInd w:val="0"/>
        <w:spacing w:after="0" w:line="240" w:lineRule="auto"/>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lastRenderedPageBreak/>
        <w:t>Table 3 Regression Results with Governance Indicators</w:t>
      </w:r>
    </w:p>
    <w:tbl>
      <w:tblPr>
        <w:tblW w:w="5000" w:type="pct"/>
        <w:tblLook w:val="0000" w:firstRow="0" w:lastRow="0" w:firstColumn="0" w:lastColumn="0" w:noHBand="0" w:noVBand="0"/>
      </w:tblPr>
      <w:tblGrid>
        <w:gridCol w:w="3128"/>
        <w:gridCol w:w="1792"/>
        <w:gridCol w:w="1968"/>
        <w:gridCol w:w="1968"/>
      </w:tblGrid>
      <w:tr w:rsidR="009B0760" w:rsidRPr="00AD03BD" w14:paraId="09195A32" w14:textId="77777777" w:rsidTr="009B0760">
        <w:tc>
          <w:tcPr>
            <w:tcW w:w="1766" w:type="pct"/>
            <w:tcBorders>
              <w:top w:val="single" w:sz="4" w:space="0" w:color="auto"/>
              <w:left w:val="nil"/>
              <w:bottom w:val="nil"/>
              <w:right w:val="nil"/>
            </w:tcBorders>
          </w:tcPr>
          <w:p w14:paraId="6E461F06"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single" w:sz="4" w:space="0" w:color="auto"/>
              <w:left w:val="nil"/>
              <w:bottom w:val="nil"/>
              <w:right w:val="nil"/>
            </w:tcBorders>
          </w:tcPr>
          <w:p w14:paraId="13210DF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(1)</w:t>
            </w:r>
          </w:p>
        </w:tc>
        <w:tc>
          <w:tcPr>
            <w:tcW w:w="1111" w:type="pct"/>
            <w:tcBorders>
              <w:top w:val="single" w:sz="4" w:space="0" w:color="auto"/>
              <w:left w:val="nil"/>
              <w:bottom w:val="nil"/>
              <w:right w:val="nil"/>
            </w:tcBorders>
          </w:tcPr>
          <w:p w14:paraId="762155AE"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(2)</w:t>
            </w:r>
          </w:p>
        </w:tc>
        <w:tc>
          <w:tcPr>
            <w:tcW w:w="1111" w:type="pct"/>
            <w:tcBorders>
              <w:top w:val="single" w:sz="4" w:space="0" w:color="auto"/>
              <w:left w:val="nil"/>
              <w:bottom w:val="nil"/>
              <w:right w:val="nil"/>
            </w:tcBorders>
          </w:tcPr>
          <w:p w14:paraId="77E0E0B4"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(3)</w:t>
            </w:r>
          </w:p>
        </w:tc>
      </w:tr>
      <w:tr w:rsidR="009B0760" w:rsidRPr="00AD03BD" w14:paraId="2EC55537" w14:textId="77777777" w:rsidTr="009B0760">
        <w:tc>
          <w:tcPr>
            <w:tcW w:w="1766" w:type="pct"/>
            <w:tcBorders>
              <w:top w:val="nil"/>
              <w:left w:val="nil"/>
              <w:bottom w:val="nil"/>
              <w:right w:val="nil"/>
            </w:tcBorders>
          </w:tcPr>
          <w:p w14:paraId="2CA5ECEF"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747F4C3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roofErr w:type="spellStart"/>
            <w:r w:rsidRPr="00AD03BD">
              <w:rPr>
                <w:rFonts w:ascii="Times New Roman" w:eastAsiaTheme="minorEastAsia" w:hAnsi="Times New Roman" w:cs="Times New Roman"/>
                <w:sz w:val="21"/>
                <w:szCs w:val="21"/>
              </w:rPr>
              <w:t>pubedu</w:t>
            </w:r>
            <w:proofErr w:type="spellEnd"/>
          </w:p>
        </w:tc>
        <w:tc>
          <w:tcPr>
            <w:tcW w:w="1111" w:type="pct"/>
            <w:tcBorders>
              <w:top w:val="nil"/>
              <w:left w:val="nil"/>
              <w:bottom w:val="nil"/>
              <w:right w:val="nil"/>
            </w:tcBorders>
          </w:tcPr>
          <w:p w14:paraId="529BA715"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roofErr w:type="spellStart"/>
            <w:r w:rsidRPr="00AD03BD">
              <w:rPr>
                <w:rFonts w:ascii="Times New Roman" w:eastAsiaTheme="minorEastAsia" w:hAnsi="Times New Roman" w:cs="Times New Roman"/>
                <w:sz w:val="21"/>
                <w:szCs w:val="21"/>
              </w:rPr>
              <w:t>pubedu</w:t>
            </w:r>
            <w:proofErr w:type="spellEnd"/>
          </w:p>
        </w:tc>
        <w:tc>
          <w:tcPr>
            <w:tcW w:w="1111" w:type="pct"/>
            <w:tcBorders>
              <w:top w:val="nil"/>
              <w:left w:val="nil"/>
              <w:bottom w:val="nil"/>
              <w:right w:val="nil"/>
            </w:tcBorders>
          </w:tcPr>
          <w:p w14:paraId="3865A70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roofErr w:type="spellStart"/>
            <w:r w:rsidRPr="00AD03BD">
              <w:rPr>
                <w:rFonts w:ascii="Times New Roman" w:eastAsiaTheme="minorEastAsia" w:hAnsi="Times New Roman" w:cs="Times New Roman"/>
                <w:sz w:val="21"/>
                <w:szCs w:val="21"/>
              </w:rPr>
              <w:t>pubedu</w:t>
            </w:r>
            <w:proofErr w:type="spellEnd"/>
          </w:p>
        </w:tc>
      </w:tr>
      <w:tr w:rsidR="009B0760" w:rsidRPr="00AD03BD" w14:paraId="5ADFA6DC" w14:textId="77777777" w:rsidTr="009B0760">
        <w:tc>
          <w:tcPr>
            <w:tcW w:w="1766" w:type="pct"/>
            <w:tcBorders>
              <w:top w:val="single" w:sz="4" w:space="0" w:color="auto"/>
              <w:left w:val="nil"/>
              <w:bottom w:val="nil"/>
              <w:right w:val="nil"/>
            </w:tcBorders>
          </w:tcPr>
          <w:p w14:paraId="6362F61F"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roofErr w:type="spellStart"/>
            <w:r w:rsidRPr="00AD03BD">
              <w:rPr>
                <w:rFonts w:ascii="Times New Roman" w:eastAsiaTheme="minorEastAsia" w:hAnsi="Times New Roman" w:cs="Times New Roman"/>
                <w:sz w:val="21"/>
                <w:szCs w:val="21"/>
              </w:rPr>
              <w:t>resourcerent</w:t>
            </w:r>
            <w:proofErr w:type="spellEnd"/>
          </w:p>
        </w:tc>
        <w:tc>
          <w:tcPr>
            <w:tcW w:w="1012" w:type="pct"/>
            <w:tcBorders>
              <w:top w:val="single" w:sz="4" w:space="0" w:color="auto"/>
              <w:left w:val="nil"/>
              <w:bottom w:val="nil"/>
              <w:right w:val="nil"/>
            </w:tcBorders>
          </w:tcPr>
          <w:p w14:paraId="6688E69D"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-0.0270**</w:t>
            </w:r>
          </w:p>
        </w:tc>
        <w:tc>
          <w:tcPr>
            <w:tcW w:w="1111" w:type="pct"/>
            <w:tcBorders>
              <w:top w:val="single" w:sz="4" w:space="0" w:color="auto"/>
              <w:left w:val="nil"/>
              <w:bottom w:val="nil"/>
              <w:right w:val="nil"/>
            </w:tcBorders>
          </w:tcPr>
          <w:p w14:paraId="2D040FB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-0.0356**</w:t>
            </w:r>
          </w:p>
        </w:tc>
        <w:tc>
          <w:tcPr>
            <w:tcW w:w="1111" w:type="pct"/>
            <w:tcBorders>
              <w:top w:val="single" w:sz="4" w:space="0" w:color="auto"/>
              <w:left w:val="nil"/>
              <w:bottom w:val="nil"/>
              <w:right w:val="nil"/>
            </w:tcBorders>
          </w:tcPr>
          <w:p w14:paraId="0FDAE068"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-0.0341**</w:t>
            </w:r>
          </w:p>
        </w:tc>
      </w:tr>
      <w:tr w:rsidR="009B0760" w:rsidRPr="00AD03BD" w14:paraId="7ECBC219" w14:textId="77777777" w:rsidTr="009B0760">
        <w:tc>
          <w:tcPr>
            <w:tcW w:w="1766" w:type="pct"/>
            <w:tcBorders>
              <w:top w:val="nil"/>
              <w:left w:val="nil"/>
              <w:bottom w:val="nil"/>
              <w:right w:val="nil"/>
            </w:tcBorders>
          </w:tcPr>
          <w:p w14:paraId="51111EC9"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18D6EF3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(0.00617)</w:t>
            </w:r>
          </w:p>
        </w:tc>
        <w:tc>
          <w:tcPr>
            <w:tcW w:w="1111" w:type="pct"/>
            <w:tcBorders>
              <w:top w:val="nil"/>
              <w:left w:val="nil"/>
              <w:bottom w:val="nil"/>
              <w:right w:val="nil"/>
            </w:tcBorders>
          </w:tcPr>
          <w:p w14:paraId="08A31368"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(0.00757)</w:t>
            </w:r>
          </w:p>
        </w:tc>
        <w:tc>
          <w:tcPr>
            <w:tcW w:w="1111" w:type="pct"/>
            <w:tcBorders>
              <w:top w:val="nil"/>
              <w:left w:val="nil"/>
              <w:bottom w:val="nil"/>
              <w:right w:val="nil"/>
            </w:tcBorders>
          </w:tcPr>
          <w:p w14:paraId="732C1FC5"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(0.00721)</w:t>
            </w:r>
          </w:p>
        </w:tc>
      </w:tr>
      <w:tr w:rsidR="009B0760" w:rsidRPr="00AD03BD" w14:paraId="475C3BBA" w14:textId="77777777" w:rsidTr="009B0760">
        <w:tc>
          <w:tcPr>
            <w:tcW w:w="1766" w:type="pct"/>
            <w:tcBorders>
              <w:top w:val="nil"/>
              <w:left w:val="nil"/>
              <w:bottom w:val="nil"/>
              <w:right w:val="nil"/>
            </w:tcBorders>
          </w:tcPr>
          <w:p w14:paraId="69E22AE5"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24949019"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7268E10D"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3C8EA4FC"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5D6472BF" w14:textId="77777777" w:rsidTr="009B0760">
        <w:tc>
          <w:tcPr>
            <w:tcW w:w="1766" w:type="pct"/>
            <w:tcBorders>
              <w:top w:val="nil"/>
              <w:left w:val="nil"/>
              <w:bottom w:val="nil"/>
              <w:right w:val="nil"/>
            </w:tcBorders>
          </w:tcPr>
          <w:p w14:paraId="386C22CA"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manufacture</w:t>
            </w:r>
          </w:p>
        </w:tc>
        <w:tc>
          <w:tcPr>
            <w:tcW w:w="1012" w:type="pct"/>
            <w:tcBorders>
              <w:top w:val="nil"/>
              <w:left w:val="nil"/>
              <w:bottom w:val="nil"/>
              <w:right w:val="nil"/>
            </w:tcBorders>
          </w:tcPr>
          <w:p w14:paraId="277F7F85"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0.0149**</w:t>
            </w:r>
          </w:p>
        </w:tc>
        <w:tc>
          <w:tcPr>
            <w:tcW w:w="1111" w:type="pct"/>
            <w:tcBorders>
              <w:top w:val="nil"/>
              <w:left w:val="nil"/>
              <w:bottom w:val="nil"/>
              <w:right w:val="nil"/>
            </w:tcBorders>
          </w:tcPr>
          <w:p w14:paraId="614BC684"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0.0152**</w:t>
            </w:r>
          </w:p>
        </w:tc>
        <w:tc>
          <w:tcPr>
            <w:tcW w:w="1111" w:type="pct"/>
            <w:tcBorders>
              <w:top w:val="nil"/>
              <w:left w:val="nil"/>
              <w:bottom w:val="nil"/>
              <w:right w:val="nil"/>
            </w:tcBorders>
          </w:tcPr>
          <w:p w14:paraId="330B8E7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0.0170**</w:t>
            </w:r>
          </w:p>
        </w:tc>
      </w:tr>
      <w:tr w:rsidR="009B0760" w:rsidRPr="00AD03BD" w14:paraId="3A575412" w14:textId="77777777" w:rsidTr="009B0760">
        <w:tc>
          <w:tcPr>
            <w:tcW w:w="1766" w:type="pct"/>
            <w:tcBorders>
              <w:top w:val="nil"/>
              <w:left w:val="nil"/>
              <w:bottom w:val="nil"/>
              <w:right w:val="nil"/>
            </w:tcBorders>
          </w:tcPr>
          <w:p w14:paraId="7192E03A"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2AB0FEEB"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(0.00616)</w:t>
            </w:r>
          </w:p>
        </w:tc>
        <w:tc>
          <w:tcPr>
            <w:tcW w:w="1111" w:type="pct"/>
            <w:tcBorders>
              <w:top w:val="nil"/>
              <w:left w:val="nil"/>
              <w:bottom w:val="nil"/>
              <w:right w:val="nil"/>
            </w:tcBorders>
          </w:tcPr>
          <w:p w14:paraId="63303BEF"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(0.00708)</w:t>
            </w:r>
          </w:p>
        </w:tc>
        <w:tc>
          <w:tcPr>
            <w:tcW w:w="1111" w:type="pct"/>
            <w:tcBorders>
              <w:top w:val="nil"/>
              <w:left w:val="nil"/>
              <w:bottom w:val="nil"/>
              <w:right w:val="nil"/>
            </w:tcBorders>
          </w:tcPr>
          <w:p w14:paraId="4C78335D"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(0.00717)</w:t>
            </w:r>
          </w:p>
        </w:tc>
      </w:tr>
      <w:tr w:rsidR="009B0760" w:rsidRPr="00AD03BD" w14:paraId="6E871ED3" w14:textId="77777777" w:rsidTr="009B0760">
        <w:tc>
          <w:tcPr>
            <w:tcW w:w="1766" w:type="pct"/>
            <w:tcBorders>
              <w:top w:val="nil"/>
              <w:left w:val="nil"/>
              <w:bottom w:val="nil"/>
              <w:right w:val="nil"/>
            </w:tcBorders>
          </w:tcPr>
          <w:p w14:paraId="434115D9"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32F00178"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3C75380E"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77F4344B"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7981A1F2" w14:textId="77777777" w:rsidTr="009B0760">
        <w:tc>
          <w:tcPr>
            <w:tcW w:w="1766" w:type="pct"/>
            <w:tcBorders>
              <w:top w:val="nil"/>
              <w:left w:val="nil"/>
              <w:bottom w:val="nil"/>
              <w:right w:val="nil"/>
            </w:tcBorders>
          </w:tcPr>
          <w:p w14:paraId="50B66EFA"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agriculture</w:t>
            </w:r>
          </w:p>
        </w:tc>
        <w:tc>
          <w:tcPr>
            <w:tcW w:w="1012" w:type="pct"/>
            <w:tcBorders>
              <w:top w:val="nil"/>
              <w:left w:val="nil"/>
              <w:bottom w:val="nil"/>
              <w:right w:val="nil"/>
            </w:tcBorders>
          </w:tcPr>
          <w:p w14:paraId="01CC3D13"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-0.0999**</w:t>
            </w:r>
          </w:p>
        </w:tc>
        <w:tc>
          <w:tcPr>
            <w:tcW w:w="1111" w:type="pct"/>
            <w:tcBorders>
              <w:top w:val="nil"/>
              <w:left w:val="nil"/>
              <w:bottom w:val="nil"/>
              <w:right w:val="nil"/>
            </w:tcBorders>
          </w:tcPr>
          <w:p w14:paraId="134FA3A0"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-0.0793**</w:t>
            </w:r>
          </w:p>
        </w:tc>
        <w:tc>
          <w:tcPr>
            <w:tcW w:w="1111" w:type="pct"/>
            <w:tcBorders>
              <w:top w:val="nil"/>
              <w:left w:val="nil"/>
              <w:bottom w:val="nil"/>
              <w:right w:val="nil"/>
            </w:tcBorders>
          </w:tcPr>
          <w:p w14:paraId="7144DA8F"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-0.0810**</w:t>
            </w:r>
          </w:p>
        </w:tc>
      </w:tr>
      <w:tr w:rsidR="009B0760" w:rsidRPr="00AD03BD" w14:paraId="0F45B455" w14:textId="77777777" w:rsidTr="009B0760">
        <w:tc>
          <w:tcPr>
            <w:tcW w:w="1766" w:type="pct"/>
            <w:tcBorders>
              <w:top w:val="nil"/>
              <w:left w:val="nil"/>
              <w:bottom w:val="nil"/>
              <w:right w:val="nil"/>
            </w:tcBorders>
          </w:tcPr>
          <w:p w14:paraId="7D2EC6CF"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068DE3D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(0.0115)</w:t>
            </w:r>
          </w:p>
        </w:tc>
        <w:tc>
          <w:tcPr>
            <w:tcW w:w="1111" w:type="pct"/>
            <w:tcBorders>
              <w:top w:val="nil"/>
              <w:left w:val="nil"/>
              <w:bottom w:val="nil"/>
              <w:right w:val="nil"/>
            </w:tcBorders>
          </w:tcPr>
          <w:p w14:paraId="0C69A311"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(0.0143)</w:t>
            </w:r>
          </w:p>
        </w:tc>
        <w:tc>
          <w:tcPr>
            <w:tcW w:w="1111" w:type="pct"/>
            <w:tcBorders>
              <w:top w:val="nil"/>
              <w:left w:val="nil"/>
              <w:bottom w:val="nil"/>
              <w:right w:val="nil"/>
            </w:tcBorders>
          </w:tcPr>
          <w:p w14:paraId="4BA18A5B"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(0.0139)</w:t>
            </w:r>
          </w:p>
        </w:tc>
      </w:tr>
      <w:tr w:rsidR="009B0760" w:rsidRPr="00AD03BD" w14:paraId="6C3B9E6B" w14:textId="77777777" w:rsidTr="009B0760">
        <w:tc>
          <w:tcPr>
            <w:tcW w:w="1766" w:type="pct"/>
            <w:tcBorders>
              <w:top w:val="nil"/>
              <w:left w:val="nil"/>
              <w:bottom w:val="nil"/>
              <w:right w:val="nil"/>
            </w:tcBorders>
          </w:tcPr>
          <w:p w14:paraId="0023CA3E"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78126A30"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7580A015"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628A3C63"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6B5DE8" w14:paraId="5BE9997D" w14:textId="77777777" w:rsidTr="009B0760">
        <w:tc>
          <w:tcPr>
            <w:tcW w:w="1766" w:type="pct"/>
            <w:tcBorders>
              <w:top w:val="nil"/>
              <w:left w:val="nil"/>
              <w:bottom w:val="nil"/>
              <w:right w:val="nil"/>
            </w:tcBorders>
          </w:tcPr>
          <w:p w14:paraId="463963C2" w14:textId="77777777" w:rsidR="009B0760" w:rsidRPr="00C06AD3"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r w:rsidRPr="00C06AD3">
              <w:rPr>
                <w:rFonts w:ascii="Times New Roman" w:eastAsiaTheme="minorEastAsia" w:hAnsi="Times New Roman" w:cs="Times New Roman"/>
                <w:sz w:val="21"/>
                <w:szCs w:val="21"/>
              </w:rPr>
              <w:t>corruption</w:t>
            </w:r>
          </w:p>
        </w:tc>
        <w:tc>
          <w:tcPr>
            <w:tcW w:w="1012" w:type="pct"/>
            <w:tcBorders>
              <w:top w:val="nil"/>
              <w:left w:val="nil"/>
              <w:bottom w:val="nil"/>
              <w:right w:val="nil"/>
            </w:tcBorders>
          </w:tcPr>
          <w:p w14:paraId="22B4F11B"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1292544E"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C06AD3">
              <w:rPr>
                <w:rFonts w:ascii="Times New Roman" w:eastAsiaTheme="minorEastAsia" w:hAnsi="Times New Roman" w:cs="Times New Roman"/>
                <w:sz w:val="21"/>
                <w:szCs w:val="21"/>
              </w:rPr>
              <w:t>-0.00477**</w:t>
            </w:r>
          </w:p>
        </w:tc>
        <w:tc>
          <w:tcPr>
            <w:tcW w:w="1111" w:type="pct"/>
            <w:tcBorders>
              <w:top w:val="nil"/>
              <w:left w:val="nil"/>
              <w:bottom w:val="nil"/>
              <w:right w:val="nil"/>
            </w:tcBorders>
          </w:tcPr>
          <w:p w14:paraId="12B8F05B"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6B5DE8" w14:paraId="3A8B1D0A" w14:textId="77777777" w:rsidTr="009B0760">
        <w:tc>
          <w:tcPr>
            <w:tcW w:w="1766" w:type="pct"/>
            <w:tcBorders>
              <w:top w:val="nil"/>
              <w:left w:val="nil"/>
              <w:bottom w:val="nil"/>
              <w:right w:val="nil"/>
            </w:tcBorders>
          </w:tcPr>
          <w:p w14:paraId="2BB246B9" w14:textId="77777777" w:rsidR="009B0760" w:rsidRPr="00C06AD3"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714FF9C6"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42E2794"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C06AD3">
              <w:rPr>
                <w:rFonts w:ascii="Times New Roman" w:eastAsiaTheme="minorEastAsia" w:hAnsi="Times New Roman" w:cs="Times New Roman"/>
                <w:sz w:val="21"/>
                <w:szCs w:val="21"/>
              </w:rPr>
              <w:t>(0.00189)</w:t>
            </w:r>
          </w:p>
        </w:tc>
        <w:tc>
          <w:tcPr>
            <w:tcW w:w="1111" w:type="pct"/>
            <w:tcBorders>
              <w:top w:val="nil"/>
              <w:left w:val="nil"/>
              <w:bottom w:val="nil"/>
              <w:right w:val="nil"/>
            </w:tcBorders>
          </w:tcPr>
          <w:p w14:paraId="19B11BFB"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434B3ABD" w14:textId="77777777" w:rsidTr="009B0760">
        <w:tc>
          <w:tcPr>
            <w:tcW w:w="1766" w:type="pct"/>
            <w:tcBorders>
              <w:top w:val="nil"/>
              <w:left w:val="nil"/>
              <w:bottom w:val="nil"/>
              <w:right w:val="nil"/>
            </w:tcBorders>
          </w:tcPr>
          <w:p w14:paraId="05E5CC99"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5BE6B364"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3C7CEACE"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1F48B4C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2E1386F0" w14:textId="77777777" w:rsidTr="009B0760">
        <w:tc>
          <w:tcPr>
            <w:tcW w:w="1766" w:type="pct"/>
            <w:tcBorders>
              <w:top w:val="nil"/>
              <w:left w:val="nil"/>
              <w:bottom w:val="nil"/>
              <w:right w:val="nil"/>
            </w:tcBorders>
          </w:tcPr>
          <w:p w14:paraId="38192A58"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roofErr w:type="spellStart"/>
            <w:r w:rsidRPr="00AD03BD">
              <w:rPr>
                <w:rFonts w:ascii="Times New Roman" w:eastAsiaTheme="minorEastAsia" w:hAnsi="Times New Roman" w:cs="Times New Roman"/>
                <w:sz w:val="21"/>
                <w:szCs w:val="21"/>
              </w:rPr>
              <w:t>resourcerent</w:t>
            </w:r>
            <w:proofErr w:type="spellEnd"/>
            <w:r w:rsidRPr="00AD03BD">
              <w:rPr>
                <w:rFonts w:ascii="Times New Roman" w:eastAsiaTheme="minorEastAsia" w:hAnsi="Times New Roman" w:cs="Times New Roman"/>
                <w:sz w:val="21"/>
                <w:szCs w:val="21"/>
              </w:rPr>
              <w:t>*corruption</w:t>
            </w:r>
          </w:p>
        </w:tc>
        <w:tc>
          <w:tcPr>
            <w:tcW w:w="1012" w:type="pct"/>
            <w:tcBorders>
              <w:top w:val="nil"/>
              <w:left w:val="nil"/>
              <w:bottom w:val="nil"/>
              <w:right w:val="nil"/>
            </w:tcBorders>
          </w:tcPr>
          <w:p w14:paraId="387A48F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464DDAC9"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-0.0131*</w:t>
            </w:r>
          </w:p>
        </w:tc>
        <w:tc>
          <w:tcPr>
            <w:tcW w:w="1111" w:type="pct"/>
            <w:tcBorders>
              <w:top w:val="nil"/>
              <w:left w:val="nil"/>
              <w:bottom w:val="nil"/>
              <w:right w:val="nil"/>
            </w:tcBorders>
          </w:tcPr>
          <w:p w14:paraId="33CF2D8F"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7117FD4A" w14:textId="77777777" w:rsidTr="009B0760">
        <w:tc>
          <w:tcPr>
            <w:tcW w:w="1766" w:type="pct"/>
            <w:tcBorders>
              <w:top w:val="nil"/>
              <w:left w:val="nil"/>
              <w:bottom w:val="nil"/>
              <w:right w:val="nil"/>
            </w:tcBorders>
          </w:tcPr>
          <w:p w14:paraId="3E2C83AC"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4CC4393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1ED31998"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(0.00790)</w:t>
            </w:r>
          </w:p>
        </w:tc>
        <w:tc>
          <w:tcPr>
            <w:tcW w:w="1111" w:type="pct"/>
            <w:tcBorders>
              <w:top w:val="nil"/>
              <w:left w:val="nil"/>
              <w:bottom w:val="nil"/>
              <w:right w:val="nil"/>
            </w:tcBorders>
          </w:tcPr>
          <w:p w14:paraId="23899B4F"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6E0D08A4" w14:textId="77777777" w:rsidTr="009B0760">
        <w:tc>
          <w:tcPr>
            <w:tcW w:w="1766" w:type="pct"/>
            <w:tcBorders>
              <w:top w:val="nil"/>
              <w:left w:val="nil"/>
              <w:bottom w:val="nil"/>
              <w:right w:val="nil"/>
            </w:tcBorders>
          </w:tcPr>
          <w:p w14:paraId="405CE6AF"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470AA981"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7F15A335"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7C23374A"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214A14CF" w14:textId="77777777" w:rsidTr="009B0760">
        <w:tc>
          <w:tcPr>
            <w:tcW w:w="1766" w:type="pct"/>
            <w:tcBorders>
              <w:top w:val="nil"/>
              <w:left w:val="nil"/>
              <w:bottom w:val="nil"/>
              <w:right w:val="nil"/>
            </w:tcBorders>
          </w:tcPr>
          <w:p w14:paraId="0511780A"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manufacture*corruption</w:t>
            </w:r>
          </w:p>
        </w:tc>
        <w:tc>
          <w:tcPr>
            <w:tcW w:w="1012" w:type="pct"/>
            <w:tcBorders>
              <w:top w:val="nil"/>
              <w:left w:val="nil"/>
              <w:bottom w:val="nil"/>
              <w:right w:val="nil"/>
            </w:tcBorders>
          </w:tcPr>
          <w:p w14:paraId="0A36BFDF"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716B963D"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0.00518</w:t>
            </w:r>
          </w:p>
        </w:tc>
        <w:tc>
          <w:tcPr>
            <w:tcW w:w="1111" w:type="pct"/>
            <w:tcBorders>
              <w:top w:val="nil"/>
              <w:left w:val="nil"/>
              <w:bottom w:val="nil"/>
              <w:right w:val="nil"/>
            </w:tcBorders>
          </w:tcPr>
          <w:p w14:paraId="476FA64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1893BE58" w14:textId="77777777" w:rsidTr="009B0760">
        <w:tc>
          <w:tcPr>
            <w:tcW w:w="1766" w:type="pct"/>
            <w:tcBorders>
              <w:top w:val="nil"/>
              <w:left w:val="nil"/>
              <w:bottom w:val="nil"/>
              <w:right w:val="nil"/>
            </w:tcBorders>
          </w:tcPr>
          <w:p w14:paraId="320D1314"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3AA1C3DA"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6AE35703"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(0.00460)</w:t>
            </w:r>
          </w:p>
        </w:tc>
        <w:tc>
          <w:tcPr>
            <w:tcW w:w="1111" w:type="pct"/>
            <w:tcBorders>
              <w:top w:val="nil"/>
              <w:left w:val="nil"/>
              <w:bottom w:val="nil"/>
              <w:right w:val="nil"/>
            </w:tcBorders>
          </w:tcPr>
          <w:p w14:paraId="2E8DFF9C"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4F12CBF7" w14:textId="77777777" w:rsidTr="009B0760">
        <w:tc>
          <w:tcPr>
            <w:tcW w:w="1766" w:type="pct"/>
            <w:tcBorders>
              <w:top w:val="nil"/>
              <w:left w:val="nil"/>
              <w:bottom w:val="nil"/>
              <w:right w:val="nil"/>
            </w:tcBorders>
          </w:tcPr>
          <w:p w14:paraId="76F9F20F"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6DC81D3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311592E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3B0C218"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0A084918" w14:textId="77777777" w:rsidTr="009B0760">
        <w:tc>
          <w:tcPr>
            <w:tcW w:w="1766" w:type="pct"/>
            <w:tcBorders>
              <w:top w:val="nil"/>
              <w:left w:val="nil"/>
              <w:bottom w:val="nil"/>
              <w:right w:val="nil"/>
            </w:tcBorders>
          </w:tcPr>
          <w:p w14:paraId="1F2793E1"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agriculture*corruption</w:t>
            </w:r>
          </w:p>
        </w:tc>
        <w:tc>
          <w:tcPr>
            <w:tcW w:w="1012" w:type="pct"/>
            <w:tcBorders>
              <w:top w:val="nil"/>
              <w:left w:val="nil"/>
              <w:bottom w:val="nil"/>
              <w:right w:val="nil"/>
            </w:tcBorders>
          </w:tcPr>
          <w:p w14:paraId="4C60EDB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3D8C4A31"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0.0287**</w:t>
            </w:r>
          </w:p>
        </w:tc>
        <w:tc>
          <w:tcPr>
            <w:tcW w:w="1111" w:type="pct"/>
            <w:tcBorders>
              <w:top w:val="nil"/>
              <w:left w:val="nil"/>
              <w:bottom w:val="nil"/>
              <w:right w:val="nil"/>
            </w:tcBorders>
          </w:tcPr>
          <w:p w14:paraId="4A0702EE"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41E03AB5" w14:textId="77777777" w:rsidTr="009B0760">
        <w:tc>
          <w:tcPr>
            <w:tcW w:w="1766" w:type="pct"/>
            <w:tcBorders>
              <w:top w:val="nil"/>
              <w:left w:val="nil"/>
              <w:bottom w:val="nil"/>
              <w:right w:val="nil"/>
            </w:tcBorders>
          </w:tcPr>
          <w:p w14:paraId="7AE8CF05"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505AE09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4966B861"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(0.0102)</w:t>
            </w:r>
          </w:p>
        </w:tc>
        <w:tc>
          <w:tcPr>
            <w:tcW w:w="1111" w:type="pct"/>
            <w:tcBorders>
              <w:top w:val="nil"/>
              <w:left w:val="nil"/>
              <w:bottom w:val="nil"/>
              <w:right w:val="nil"/>
            </w:tcBorders>
          </w:tcPr>
          <w:p w14:paraId="04BC2B9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2DD1AD3A" w14:textId="77777777" w:rsidTr="009B0760">
        <w:tc>
          <w:tcPr>
            <w:tcW w:w="1766" w:type="pct"/>
            <w:tcBorders>
              <w:top w:val="nil"/>
              <w:left w:val="nil"/>
              <w:bottom w:val="nil"/>
              <w:right w:val="nil"/>
            </w:tcBorders>
          </w:tcPr>
          <w:p w14:paraId="52391435"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72C92904"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A3770A5"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BE93CE3"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6B5DE8" w14:paraId="5822F870" w14:textId="77777777" w:rsidTr="009B0760">
        <w:tc>
          <w:tcPr>
            <w:tcW w:w="1766" w:type="pct"/>
            <w:tcBorders>
              <w:top w:val="nil"/>
              <w:left w:val="nil"/>
              <w:bottom w:val="nil"/>
              <w:right w:val="nil"/>
            </w:tcBorders>
          </w:tcPr>
          <w:p w14:paraId="5FEF5EF6" w14:textId="77777777" w:rsidR="009B0760" w:rsidRPr="00C06AD3"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roofErr w:type="spellStart"/>
            <w:r w:rsidRPr="00C06AD3">
              <w:rPr>
                <w:rFonts w:ascii="Times New Roman" w:eastAsiaTheme="minorEastAsia" w:hAnsi="Times New Roman" w:cs="Times New Roman"/>
                <w:sz w:val="21"/>
                <w:szCs w:val="21"/>
              </w:rPr>
              <w:t>govteffectiveness</w:t>
            </w:r>
            <w:proofErr w:type="spellEnd"/>
          </w:p>
        </w:tc>
        <w:tc>
          <w:tcPr>
            <w:tcW w:w="1012" w:type="pct"/>
            <w:tcBorders>
              <w:top w:val="nil"/>
              <w:left w:val="nil"/>
              <w:bottom w:val="nil"/>
              <w:right w:val="nil"/>
            </w:tcBorders>
          </w:tcPr>
          <w:p w14:paraId="7D1AFBD9"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0F3CB709"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74689D8"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C06AD3">
              <w:rPr>
                <w:rFonts w:ascii="Times New Roman" w:eastAsiaTheme="minorEastAsia" w:hAnsi="Times New Roman" w:cs="Times New Roman"/>
                <w:sz w:val="21"/>
                <w:szCs w:val="21"/>
              </w:rPr>
              <w:t>-0.00600**</w:t>
            </w:r>
          </w:p>
        </w:tc>
      </w:tr>
      <w:tr w:rsidR="009B0760" w:rsidRPr="006B5DE8" w14:paraId="00817E3A" w14:textId="77777777" w:rsidTr="009B0760">
        <w:tc>
          <w:tcPr>
            <w:tcW w:w="1766" w:type="pct"/>
            <w:tcBorders>
              <w:top w:val="nil"/>
              <w:left w:val="nil"/>
              <w:bottom w:val="nil"/>
              <w:right w:val="nil"/>
            </w:tcBorders>
          </w:tcPr>
          <w:p w14:paraId="50A1B9C7" w14:textId="77777777" w:rsidR="009B0760" w:rsidRPr="00C06AD3"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6760E002"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0A7E88F8"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33593636"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C06AD3">
              <w:rPr>
                <w:rFonts w:ascii="Times New Roman" w:eastAsiaTheme="minorEastAsia" w:hAnsi="Times New Roman" w:cs="Times New Roman"/>
                <w:sz w:val="21"/>
                <w:szCs w:val="21"/>
              </w:rPr>
              <w:t>(0.00177)</w:t>
            </w:r>
          </w:p>
        </w:tc>
      </w:tr>
      <w:tr w:rsidR="009B0760" w:rsidRPr="00AD03BD" w14:paraId="411399B9" w14:textId="77777777" w:rsidTr="009B0760">
        <w:tc>
          <w:tcPr>
            <w:tcW w:w="1766" w:type="pct"/>
            <w:tcBorders>
              <w:top w:val="nil"/>
              <w:left w:val="nil"/>
              <w:bottom w:val="nil"/>
              <w:right w:val="nil"/>
            </w:tcBorders>
          </w:tcPr>
          <w:p w14:paraId="02D42AED"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207F6DE3"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53A76DBF"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592A267E"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2919D863" w14:textId="77777777" w:rsidTr="009B0760">
        <w:tc>
          <w:tcPr>
            <w:tcW w:w="1766" w:type="pct"/>
            <w:tcBorders>
              <w:top w:val="nil"/>
              <w:left w:val="nil"/>
              <w:bottom w:val="nil"/>
              <w:right w:val="nil"/>
            </w:tcBorders>
          </w:tcPr>
          <w:p w14:paraId="27FD21E7"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roofErr w:type="spellStart"/>
            <w:r w:rsidRPr="00AD03BD">
              <w:rPr>
                <w:rFonts w:ascii="Times New Roman" w:eastAsiaTheme="minorEastAsia" w:hAnsi="Times New Roman" w:cs="Times New Roman"/>
                <w:sz w:val="21"/>
                <w:szCs w:val="21"/>
              </w:rPr>
              <w:t>resourcerent</w:t>
            </w:r>
            <w:proofErr w:type="spellEnd"/>
            <w:r w:rsidRPr="00AD03BD">
              <w:rPr>
                <w:rFonts w:ascii="Times New Roman" w:eastAsiaTheme="minorEastAsia" w:hAnsi="Times New Roman" w:cs="Times New Roman"/>
                <w:sz w:val="21"/>
                <w:szCs w:val="21"/>
              </w:rPr>
              <w:t>*</w:t>
            </w:r>
            <w:proofErr w:type="spellStart"/>
            <w:r w:rsidRPr="00AD03BD">
              <w:rPr>
                <w:rFonts w:ascii="Times New Roman" w:eastAsiaTheme="minorEastAsia" w:hAnsi="Times New Roman" w:cs="Times New Roman"/>
                <w:sz w:val="21"/>
                <w:szCs w:val="21"/>
              </w:rPr>
              <w:t>govteffectiveness</w:t>
            </w:r>
            <w:proofErr w:type="spellEnd"/>
          </w:p>
        </w:tc>
        <w:tc>
          <w:tcPr>
            <w:tcW w:w="1012" w:type="pct"/>
            <w:tcBorders>
              <w:top w:val="nil"/>
              <w:left w:val="nil"/>
              <w:bottom w:val="nil"/>
              <w:right w:val="nil"/>
            </w:tcBorders>
          </w:tcPr>
          <w:p w14:paraId="350A70A3"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6C8FEF42"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68DAB335"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-0.0127*</w:t>
            </w:r>
          </w:p>
        </w:tc>
      </w:tr>
      <w:tr w:rsidR="009B0760" w:rsidRPr="00AD03BD" w14:paraId="066B095E" w14:textId="77777777" w:rsidTr="009B0760">
        <w:tc>
          <w:tcPr>
            <w:tcW w:w="1766" w:type="pct"/>
            <w:tcBorders>
              <w:top w:val="nil"/>
              <w:left w:val="nil"/>
              <w:bottom w:val="nil"/>
              <w:right w:val="nil"/>
            </w:tcBorders>
          </w:tcPr>
          <w:p w14:paraId="5F8F2987"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1238F889"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EA3671A"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4DB72749"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(0.00751)</w:t>
            </w:r>
          </w:p>
        </w:tc>
      </w:tr>
      <w:tr w:rsidR="009B0760" w:rsidRPr="00AD03BD" w14:paraId="7DC07332" w14:textId="77777777" w:rsidTr="009B0760">
        <w:tc>
          <w:tcPr>
            <w:tcW w:w="1766" w:type="pct"/>
            <w:tcBorders>
              <w:top w:val="nil"/>
              <w:left w:val="nil"/>
              <w:bottom w:val="nil"/>
              <w:right w:val="nil"/>
            </w:tcBorders>
          </w:tcPr>
          <w:p w14:paraId="53531990"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36088EEB"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015F8C8A"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499F4254"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54031DF2" w14:textId="77777777" w:rsidTr="009B0760">
        <w:tc>
          <w:tcPr>
            <w:tcW w:w="1766" w:type="pct"/>
            <w:tcBorders>
              <w:top w:val="nil"/>
              <w:left w:val="nil"/>
              <w:bottom w:val="nil"/>
              <w:right w:val="nil"/>
            </w:tcBorders>
          </w:tcPr>
          <w:p w14:paraId="5B1032EF"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manufacture*</w:t>
            </w:r>
            <w:proofErr w:type="spellStart"/>
            <w:r w:rsidRPr="00AD03BD">
              <w:rPr>
                <w:rFonts w:ascii="Times New Roman" w:eastAsiaTheme="minorEastAsia" w:hAnsi="Times New Roman" w:cs="Times New Roman"/>
                <w:sz w:val="21"/>
                <w:szCs w:val="21"/>
              </w:rPr>
              <w:t>govteffectiveness</w:t>
            </w:r>
            <w:proofErr w:type="spellEnd"/>
          </w:p>
        </w:tc>
        <w:tc>
          <w:tcPr>
            <w:tcW w:w="1012" w:type="pct"/>
            <w:tcBorders>
              <w:top w:val="nil"/>
              <w:left w:val="nil"/>
              <w:bottom w:val="nil"/>
              <w:right w:val="nil"/>
            </w:tcBorders>
          </w:tcPr>
          <w:p w14:paraId="177ED8B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784C8871"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B1B5E73"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0.00131</w:t>
            </w:r>
          </w:p>
        </w:tc>
      </w:tr>
      <w:tr w:rsidR="009B0760" w:rsidRPr="00AD03BD" w14:paraId="2956AF67" w14:textId="77777777" w:rsidTr="009B0760">
        <w:tc>
          <w:tcPr>
            <w:tcW w:w="1766" w:type="pct"/>
            <w:tcBorders>
              <w:top w:val="nil"/>
              <w:left w:val="nil"/>
              <w:bottom w:val="nil"/>
              <w:right w:val="nil"/>
            </w:tcBorders>
          </w:tcPr>
          <w:p w14:paraId="16A0A149"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2B58353A"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71FEC563"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55E76691"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(0.00413)</w:t>
            </w:r>
          </w:p>
        </w:tc>
      </w:tr>
      <w:tr w:rsidR="009B0760" w:rsidRPr="00AD03BD" w14:paraId="4E9CB701" w14:textId="77777777" w:rsidTr="009B0760">
        <w:tc>
          <w:tcPr>
            <w:tcW w:w="1766" w:type="pct"/>
            <w:tcBorders>
              <w:top w:val="nil"/>
              <w:left w:val="nil"/>
              <w:bottom w:val="nil"/>
              <w:right w:val="nil"/>
            </w:tcBorders>
          </w:tcPr>
          <w:p w14:paraId="7D93DD61"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2CA0BFB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DE76B21"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205ABCE"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77A522D8" w14:textId="77777777" w:rsidTr="009B0760">
        <w:tc>
          <w:tcPr>
            <w:tcW w:w="1766" w:type="pct"/>
            <w:tcBorders>
              <w:top w:val="nil"/>
              <w:left w:val="nil"/>
              <w:bottom w:val="nil"/>
              <w:right w:val="nil"/>
            </w:tcBorders>
          </w:tcPr>
          <w:p w14:paraId="6D2591E7"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agriculture*</w:t>
            </w:r>
            <w:proofErr w:type="spellStart"/>
            <w:r w:rsidRPr="00AD03BD">
              <w:rPr>
                <w:rFonts w:ascii="Times New Roman" w:eastAsiaTheme="minorEastAsia" w:hAnsi="Times New Roman" w:cs="Times New Roman"/>
                <w:sz w:val="21"/>
                <w:szCs w:val="21"/>
              </w:rPr>
              <w:t>govteffectiveness</w:t>
            </w:r>
            <w:proofErr w:type="spellEnd"/>
          </w:p>
        </w:tc>
        <w:tc>
          <w:tcPr>
            <w:tcW w:w="1012" w:type="pct"/>
            <w:tcBorders>
              <w:top w:val="nil"/>
              <w:left w:val="nil"/>
              <w:bottom w:val="nil"/>
              <w:right w:val="nil"/>
            </w:tcBorders>
          </w:tcPr>
          <w:p w14:paraId="555B4460"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95B01A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235B10ED"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0.0239**</w:t>
            </w:r>
          </w:p>
        </w:tc>
      </w:tr>
      <w:tr w:rsidR="009B0760" w:rsidRPr="00AD03BD" w14:paraId="43A36E43" w14:textId="77777777" w:rsidTr="009B0760">
        <w:tc>
          <w:tcPr>
            <w:tcW w:w="1766" w:type="pct"/>
            <w:tcBorders>
              <w:top w:val="nil"/>
              <w:left w:val="nil"/>
              <w:bottom w:val="nil"/>
              <w:right w:val="nil"/>
            </w:tcBorders>
          </w:tcPr>
          <w:p w14:paraId="1536B501"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6ECA96A4"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6D020304"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013AB0F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(0.00877)</w:t>
            </w:r>
          </w:p>
        </w:tc>
      </w:tr>
      <w:tr w:rsidR="009B0760" w:rsidRPr="00AD03BD" w14:paraId="2B40CEFB" w14:textId="77777777" w:rsidTr="009B0760">
        <w:tc>
          <w:tcPr>
            <w:tcW w:w="1766" w:type="pct"/>
            <w:tcBorders>
              <w:top w:val="nil"/>
              <w:left w:val="nil"/>
              <w:bottom w:val="nil"/>
              <w:right w:val="nil"/>
            </w:tcBorders>
          </w:tcPr>
          <w:p w14:paraId="6FC9D036"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p>
        </w:tc>
        <w:tc>
          <w:tcPr>
            <w:tcW w:w="1012" w:type="pct"/>
            <w:tcBorders>
              <w:top w:val="nil"/>
              <w:left w:val="nil"/>
              <w:bottom w:val="nil"/>
              <w:right w:val="nil"/>
            </w:tcBorders>
          </w:tcPr>
          <w:p w14:paraId="2C45A50C"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06D999E6"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c>
          <w:tcPr>
            <w:tcW w:w="1111" w:type="pct"/>
            <w:tcBorders>
              <w:top w:val="nil"/>
              <w:left w:val="nil"/>
              <w:bottom w:val="nil"/>
              <w:right w:val="nil"/>
            </w:tcBorders>
          </w:tcPr>
          <w:p w14:paraId="64F1CC8B"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p>
        </w:tc>
      </w:tr>
      <w:tr w:rsidR="009B0760" w:rsidRPr="00AD03BD" w14:paraId="506FEC95" w14:textId="77777777" w:rsidTr="009B0760">
        <w:tc>
          <w:tcPr>
            <w:tcW w:w="1766" w:type="pct"/>
            <w:tcBorders>
              <w:top w:val="single" w:sz="4" w:space="0" w:color="auto"/>
              <w:left w:val="nil"/>
              <w:right w:val="nil"/>
            </w:tcBorders>
          </w:tcPr>
          <w:p w14:paraId="70514EE5"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Observations</w:t>
            </w:r>
          </w:p>
        </w:tc>
        <w:tc>
          <w:tcPr>
            <w:tcW w:w="1012" w:type="pct"/>
            <w:tcBorders>
              <w:top w:val="single" w:sz="4" w:space="0" w:color="auto"/>
              <w:left w:val="nil"/>
              <w:right w:val="nil"/>
            </w:tcBorders>
          </w:tcPr>
          <w:p w14:paraId="7A4C8D9D"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1012</w:t>
            </w:r>
          </w:p>
        </w:tc>
        <w:tc>
          <w:tcPr>
            <w:tcW w:w="1111" w:type="pct"/>
            <w:tcBorders>
              <w:top w:val="single" w:sz="4" w:space="0" w:color="auto"/>
              <w:left w:val="nil"/>
              <w:right w:val="nil"/>
            </w:tcBorders>
          </w:tcPr>
          <w:p w14:paraId="65E1CBED"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826</w:t>
            </w:r>
          </w:p>
        </w:tc>
        <w:tc>
          <w:tcPr>
            <w:tcW w:w="1111" w:type="pct"/>
            <w:tcBorders>
              <w:top w:val="single" w:sz="4" w:space="0" w:color="auto"/>
              <w:left w:val="nil"/>
              <w:right w:val="nil"/>
            </w:tcBorders>
          </w:tcPr>
          <w:p w14:paraId="225921BC"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826</w:t>
            </w:r>
          </w:p>
        </w:tc>
      </w:tr>
      <w:tr w:rsidR="009B0760" w:rsidRPr="00AD03BD" w14:paraId="7BE9E591" w14:textId="77777777" w:rsidTr="009B0760">
        <w:tc>
          <w:tcPr>
            <w:tcW w:w="1766" w:type="pct"/>
            <w:tcBorders>
              <w:top w:val="nil"/>
              <w:left w:val="nil"/>
              <w:bottom w:val="single" w:sz="4" w:space="0" w:color="auto"/>
              <w:right w:val="nil"/>
            </w:tcBorders>
          </w:tcPr>
          <w:p w14:paraId="70D3EE50" w14:textId="77777777" w:rsidR="009B0760" w:rsidRPr="00AD03BD" w:rsidRDefault="009B0760" w:rsidP="009B0760">
            <w:pPr>
              <w:widowControl w:val="0"/>
              <w:autoSpaceDE w:val="0"/>
              <w:autoSpaceDN w:val="0"/>
              <w:adjustRightInd w:val="0"/>
              <w:spacing w:after="0" w:line="240" w:lineRule="auto"/>
              <w:rPr>
                <w:rFonts w:ascii="Times New Roman" w:eastAsiaTheme="minorEastAsia" w:hAnsi="Times New Roman" w:cs="Times New Roman"/>
                <w:sz w:val="21"/>
                <w:szCs w:val="21"/>
              </w:rPr>
            </w:pPr>
            <w:r w:rsidRPr="00AD03BD">
              <w:rPr>
                <w:rFonts w:ascii="Times New Roman" w:eastAsiaTheme="minorEastAsia" w:hAnsi="Times New Roman" w:cs="Times New Roman"/>
                <w:i/>
                <w:iCs/>
                <w:sz w:val="21"/>
                <w:szCs w:val="21"/>
              </w:rPr>
              <w:t>R</w:t>
            </w:r>
            <w:r w:rsidRPr="00AD03BD">
              <w:rPr>
                <w:rFonts w:ascii="Times New Roman" w:eastAsiaTheme="minorEastAsia" w:hAnsi="Times New Roman" w:cs="Times New Roman"/>
                <w:sz w:val="21"/>
                <w:szCs w:val="21"/>
                <w:vertAlign w:val="superscript"/>
              </w:rPr>
              <w:t>2</w:t>
            </w:r>
          </w:p>
        </w:tc>
        <w:tc>
          <w:tcPr>
            <w:tcW w:w="1012" w:type="pct"/>
            <w:tcBorders>
              <w:top w:val="nil"/>
              <w:left w:val="nil"/>
              <w:bottom w:val="single" w:sz="4" w:space="0" w:color="auto"/>
              <w:right w:val="nil"/>
            </w:tcBorders>
          </w:tcPr>
          <w:p w14:paraId="0D6A5945"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0.188</w:t>
            </w:r>
          </w:p>
        </w:tc>
        <w:tc>
          <w:tcPr>
            <w:tcW w:w="1111" w:type="pct"/>
            <w:tcBorders>
              <w:top w:val="nil"/>
              <w:left w:val="nil"/>
              <w:bottom w:val="single" w:sz="4" w:space="0" w:color="auto"/>
              <w:right w:val="nil"/>
            </w:tcBorders>
          </w:tcPr>
          <w:p w14:paraId="43EF5640"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0.198</w:t>
            </w:r>
          </w:p>
        </w:tc>
        <w:tc>
          <w:tcPr>
            <w:tcW w:w="1111" w:type="pct"/>
            <w:tcBorders>
              <w:top w:val="nil"/>
              <w:left w:val="nil"/>
              <w:bottom w:val="single" w:sz="4" w:space="0" w:color="auto"/>
              <w:right w:val="nil"/>
            </w:tcBorders>
          </w:tcPr>
          <w:p w14:paraId="4FCCB934" w14:textId="77777777" w:rsidR="009B0760" w:rsidRPr="00AD03B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1"/>
                <w:szCs w:val="21"/>
              </w:rPr>
            </w:pPr>
            <w:r w:rsidRPr="00AD03BD">
              <w:rPr>
                <w:rFonts w:ascii="Times New Roman" w:eastAsiaTheme="minorEastAsia" w:hAnsi="Times New Roman" w:cs="Times New Roman"/>
                <w:sz w:val="21"/>
                <w:szCs w:val="21"/>
              </w:rPr>
              <w:t>0.206</w:t>
            </w:r>
          </w:p>
        </w:tc>
      </w:tr>
    </w:tbl>
    <w:p w14:paraId="5718D82C"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i/>
          <w:sz w:val="16"/>
          <w:szCs w:val="16"/>
        </w:rPr>
      </w:pPr>
      <w:r w:rsidRPr="00774092">
        <w:rPr>
          <w:rFonts w:ascii="Times New Roman" w:eastAsiaTheme="minorEastAsia" w:hAnsi="Times New Roman" w:cs="Times New Roman"/>
          <w:i/>
          <w:sz w:val="16"/>
          <w:szCs w:val="16"/>
        </w:rPr>
        <w:t>Note:</w:t>
      </w:r>
      <w:r w:rsidRPr="00774092">
        <w:rPr>
          <w:rFonts w:eastAsiaTheme="minorEastAsia"/>
          <w:sz w:val="16"/>
          <w:szCs w:val="16"/>
        </w:rPr>
        <w:t xml:space="preserve"> </w:t>
      </w:r>
      <w:r w:rsidRPr="00774092">
        <w:rPr>
          <w:rFonts w:ascii="Times New Roman" w:eastAsiaTheme="minorEastAsia" w:hAnsi="Times New Roman" w:cs="Times New Roman"/>
          <w:i/>
          <w:sz w:val="16"/>
          <w:szCs w:val="16"/>
        </w:rPr>
        <w:t>Public education spending is the dependent variable. Fixed effects model is used in all estimations. Point estimates are reported.  Standard errors are shown in parentheses. * Significant at 10%; ** significant at 5%. All regressions include a constant term and year fixed effects (not reported).</w:t>
      </w:r>
    </w:p>
    <w:p w14:paraId="6F29EA6C" w14:textId="77777777" w:rsidR="009B0760" w:rsidRDefault="009B0760" w:rsidP="009B0760">
      <w:pPr>
        <w:spacing w:after="120" w:line="480" w:lineRule="auto"/>
        <w:jc w:val="both"/>
        <w:rPr>
          <w:rFonts w:ascii="Times New Roman" w:eastAsia="Times New Roman" w:hAnsi="Times New Roman" w:cs="Times New Roman"/>
          <w:b/>
          <w:sz w:val="24"/>
          <w:szCs w:val="24"/>
          <w:u w:val="single"/>
        </w:rPr>
      </w:pPr>
    </w:p>
    <w:p w14:paraId="3613144A" w14:textId="77777777" w:rsidR="009B0760" w:rsidRDefault="009B0760" w:rsidP="009B0760">
      <w:pPr>
        <w:spacing w:after="120" w:line="480" w:lineRule="auto"/>
        <w:jc w:val="both"/>
        <w:rPr>
          <w:rFonts w:ascii="Times New Roman" w:eastAsia="Times New Roman" w:hAnsi="Times New Roman" w:cs="Times New Roman"/>
          <w:b/>
          <w:sz w:val="24"/>
          <w:szCs w:val="24"/>
          <w:u w:val="single"/>
        </w:rPr>
      </w:pPr>
    </w:p>
    <w:p w14:paraId="14FE39D2" w14:textId="77777777" w:rsidR="009B0760" w:rsidRDefault="009B0760" w:rsidP="009B0760">
      <w:pPr>
        <w:spacing w:after="120" w:line="480" w:lineRule="auto"/>
        <w:jc w:val="both"/>
        <w:rPr>
          <w:rFonts w:ascii="Times New Roman" w:eastAsia="Times New Roman" w:hAnsi="Times New Roman" w:cs="Times New Roman"/>
          <w:b/>
          <w:sz w:val="24"/>
          <w:szCs w:val="24"/>
          <w:u w:val="single"/>
        </w:rPr>
      </w:pPr>
    </w:p>
    <w:p w14:paraId="77FCE615" w14:textId="77777777" w:rsidR="009B0760" w:rsidRDefault="009B0760" w:rsidP="009B0760">
      <w:pPr>
        <w:spacing w:after="120" w:line="480" w:lineRule="auto"/>
        <w:jc w:val="both"/>
        <w:rPr>
          <w:rFonts w:ascii="Times New Roman" w:eastAsia="Times New Roman" w:hAnsi="Times New Roman" w:cs="Times New Roman"/>
          <w:b/>
          <w:sz w:val="24"/>
          <w:szCs w:val="24"/>
          <w:u w:val="single"/>
        </w:rPr>
      </w:pPr>
    </w:p>
    <w:p w14:paraId="3C13A7B2" w14:textId="77777777" w:rsidR="009B0760" w:rsidRPr="00686C7B" w:rsidRDefault="009B0760" w:rsidP="009B0760">
      <w:pPr>
        <w:keepNext/>
        <w:widowControl w:val="0"/>
        <w:autoSpaceDE w:val="0"/>
        <w:autoSpaceDN w:val="0"/>
        <w:adjustRightInd w:val="0"/>
        <w:spacing w:after="0" w:line="240" w:lineRule="auto"/>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lastRenderedPageBreak/>
        <w:t>Table 4 Regression Results with Governance Indicators</w:t>
      </w:r>
    </w:p>
    <w:tbl>
      <w:tblPr>
        <w:tblW w:w="5000" w:type="pct"/>
        <w:tblLook w:val="0000" w:firstRow="0" w:lastRow="0" w:firstColumn="0" w:lastColumn="0" w:noHBand="0" w:noVBand="0"/>
      </w:tblPr>
      <w:tblGrid>
        <w:gridCol w:w="2830"/>
        <w:gridCol w:w="1436"/>
        <w:gridCol w:w="1436"/>
        <w:gridCol w:w="1576"/>
        <w:gridCol w:w="1578"/>
      </w:tblGrid>
      <w:tr w:rsidR="009B0760" w:rsidRPr="00AB5351" w14:paraId="1AD011AD" w14:textId="77777777" w:rsidTr="009B0760">
        <w:tc>
          <w:tcPr>
            <w:tcW w:w="1597" w:type="pct"/>
            <w:tcBorders>
              <w:top w:val="single" w:sz="4" w:space="0" w:color="auto"/>
              <w:left w:val="nil"/>
              <w:bottom w:val="nil"/>
              <w:right w:val="nil"/>
            </w:tcBorders>
          </w:tcPr>
          <w:p w14:paraId="59151913"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single" w:sz="4" w:space="0" w:color="auto"/>
              <w:left w:val="nil"/>
              <w:bottom w:val="nil"/>
              <w:right w:val="nil"/>
            </w:tcBorders>
          </w:tcPr>
          <w:p w14:paraId="196FDDB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(1)</w:t>
            </w:r>
          </w:p>
        </w:tc>
        <w:tc>
          <w:tcPr>
            <w:tcW w:w="811" w:type="pct"/>
            <w:tcBorders>
              <w:top w:val="single" w:sz="4" w:space="0" w:color="auto"/>
              <w:left w:val="nil"/>
              <w:bottom w:val="nil"/>
              <w:right w:val="nil"/>
            </w:tcBorders>
          </w:tcPr>
          <w:p w14:paraId="7398CFC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(2)</w:t>
            </w:r>
          </w:p>
        </w:tc>
        <w:tc>
          <w:tcPr>
            <w:tcW w:w="890" w:type="pct"/>
            <w:tcBorders>
              <w:top w:val="single" w:sz="4" w:space="0" w:color="auto"/>
              <w:left w:val="nil"/>
              <w:bottom w:val="nil"/>
              <w:right w:val="nil"/>
            </w:tcBorders>
          </w:tcPr>
          <w:p w14:paraId="4868D90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(3)</w:t>
            </w:r>
          </w:p>
        </w:tc>
        <w:tc>
          <w:tcPr>
            <w:tcW w:w="891" w:type="pct"/>
            <w:tcBorders>
              <w:top w:val="single" w:sz="4" w:space="0" w:color="auto"/>
              <w:left w:val="nil"/>
              <w:bottom w:val="nil"/>
              <w:right w:val="nil"/>
            </w:tcBorders>
          </w:tcPr>
          <w:p w14:paraId="795A5DD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(4)</w:t>
            </w:r>
          </w:p>
        </w:tc>
      </w:tr>
      <w:tr w:rsidR="009B0760" w:rsidRPr="00AB5351" w14:paraId="55965039" w14:textId="77777777" w:rsidTr="009B0760">
        <w:tc>
          <w:tcPr>
            <w:tcW w:w="1597" w:type="pct"/>
            <w:tcBorders>
              <w:top w:val="single" w:sz="4" w:space="0" w:color="auto"/>
              <w:left w:val="nil"/>
              <w:bottom w:val="nil"/>
              <w:right w:val="nil"/>
            </w:tcBorders>
          </w:tcPr>
          <w:p w14:paraId="3B42CF6C"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AB5351">
              <w:rPr>
                <w:rFonts w:ascii="Times New Roman" w:eastAsiaTheme="minorEastAsia" w:hAnsi="Times New Roman" w:cs="Times New Roman"/>
                <w:sz w:val="20"/>
                <w:szCs w:val="20"/>
              </w:rPr>
              <w:t>resourcerent</w:t>
            </w:r>
            <w:proofErr w:type="spellEnd"/>
          </w:p>
        </w:tc>
        <w:tc>
          <w:tcPr>
            <w:tcW w:w="811" w:type="pct"/>
            <w:tcBorders>
              <w:top w:val="single" w:sz="4" w:space="0" w:color="auto"/>
              <w:left w:val="nil"/>
              <w:bottom w:val="nil"/>
              <w:right w:val="nil"/>
            </w:tcBorders>
          </w:tcPr>
          <w:p w14:paraId="0D1C373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-0.0270**</w:t>
            </w:r>
          </w:p>
        </w:tc>
        <w:tc>
          <w:tcPr>
            <w:tcW w:w="811" w:type="pct"/>
            <w:tcBorders>
              <w:top w:val="single" w:sz="4" w:space="0" w:color="auto"/>
              <w:left w:val="nil"/>
              <w:bottom w:val="nil"/>
              <w:right w:val="nil"/>
            </w:tcBorders>
          </w:tcPr>
          <w:p w14:paraId="0E7E9EF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-0.0335**</w:t>
            </w:r>
          </w:p>
        </w:tc>
        <w:tc>
          <w:tcPr>
            <w:tcW w:w="890" w:type="pct"/>
            <w:tcBorders>
              <w:top w:val="single" w:sz="4" w:space="0" w:color="auto"/>
              <w:left w:val="nil"/>
              <w:bottom w:val="nil"/>
              <w:right w:val="nil"/>
            </w:tcBorders>
          </w:tcPr>
          <w:p w14:paraId="2AA5DBE6"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-0.0311**</w:t>
            </w:r>
          </w:p>
        </w:tc>
        <w:tc>
          <w:tcPr>
            <w:tcW w:w="891" w:type="pct"/>
            <w:tcBorders>
              <w:top w:val="single" w:sz="4" w:space="0" w:color="auto"/>
              <w:left w:val="nil"/>
              <w:bottom w:val="nil"/>
              <w:right w:val="nil"/>
            </w:tcBorders>
          </w:tcPr>
          <w:p w14:paraId="37F1E2CB"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-0.0361**</w:t>
            </w:r>
          </w:p>
        </w:tc>
      </w:tr>
      <w:tr w:rsidR="009B0760" w:rsidRPr="00AB5351" w14:paraId="14ED5AAB" w14:textId="77777777" w:rsidTr="009B0760">
        <w:tc>
          <w:tcPr>
            <w:tcW w:w="1597" w:type="pct"/>
            <w:tcBorders>
              <w:top w:val="nil"/>
              <w:left w:val="nil"/>
              <w:bottom w:val="nil"/>
              <w:right w:val="nil"/>
            </w:tcBorders>
          </w:tcPr>
          <w:p w14:paraId="029089AE"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7DFE8C0F"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(0.00617)</w:t>
            </w:r>
          </w:p>
        </w:tc>
        <w:tc>
          <w:tcPr>
            <w:tcW w:w="811" w:type="pct"/>
            <w:tcBorders>
              <w:top w:val="nil"/>
              <w:left w:val="nil"/>
              <w:bottom w:val="nil"/>
              <w:right w:val="nil"/>
            </w:tcBorders>
          </w:tcPr>
          <w:p w14:paraId="29500FF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(0.00745)</w:t>
            </w:r>
          </w:p>
        </w:tc>
        <w:tc>
          <w:tcPr>
            <w:tcW w:w="890" w:type="pct"/>
            <w:tcBorders>
              <w:top w:val="nil"/>
              <w:left w:val="nil"/>
              <w:bottom w:val="nil"/>
              <w:right w:val="nil"/>
            </w:tcBorders>
          </w:tcPr>
          <w:p w14:paraId="7F815284"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(0.00703)</w:t>
            </w:r>
          </w:p>
        </w:tc>
        <w:tc>
          <w:tcPr>
            <w:tcW w:w="891" w:type="pct"/>
            <w:tcBorders>
              <w:top w:val="nil"/>
              <w:left w:val="nil"/>
              <w:bottom w:val="nil"/>
              <w:right w:val="nil"/>
            </w:tcBorders>
          </w:tcPr>
          <w:p w14:paraId="1F477F5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(0.00735)</w:t>
            </w:r>
          </w:p>
        </w:tc>
      </w:tr>
      <w:tr w:rsidR="009B0760" w:rsidRPr="00AB5351" w14:paraId="561DB115" w14:textId="77777777" w:rsidTr="009B0760">
        <w:tc>
          <w:tcPr>
            <w:tcW w:w="1597" w:type="pct"/>
            <w:tcBorders>
              <w:top w:val="nil"/>
              <w:left w:val="nil"/>
              <w:bottom w:val="nil"/>
              <w:right w:val="nil"/>
            </w:tcBorders>
          </w:tcPr>
          <w:p w14:paraId="70BC03B9"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77E7B37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0EDD8FD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64E2EA7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7049B124"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4C1631B6" w14:textId="77777777" w:rsidTr="009B0760">
        <w:tc>
          <w:tcPr>
            <w:tcW w:w="1597" w:type="pct"/>
            <w:tcBorders>
              <w:top w:val="nil"/>
              <w:left w:val="nil"/>
              <w:bottom w:val="nil"/>
              <w:right w:val="nil"/>
            </w:tcBorders>
          </w:tcPr>
          <w:p w14:paraId="4C1F47F9"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manufacture</w:t>
            </w:r>
          </w:p>
        </w:tc>
        <w:tc>
          <w:tcPr>
            <w:tcW w:w="811" w:type="pct"/>
            <w:tcBorders>
              <w:top w:val="nil"/>
              <w:left w:val="nil"/>
              <w:bottom w:val="nil"/>
              <w:right w:val="nil"/>
            </w:tcBorders>
          </w:tcPr>
          <w:p w14:paraId="6718F106"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0.0149**</w:t>
            </w:r>
          </w:p>
        </w:tc>
        <w:tc>
          <w:tcPr>
            <w:tcW w:w="811" w:type="pct"/>
            <w:tcBorders>
              <w:top w:val="nil"/>
              <w:left w:val="nil"/>
              <w:bottom w:val="nil"/>
              <w:right w:val="nil"/>
            </w:tcBorders>
          </w:tcPr>
          <w:p w14:paraId="42E35DA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0.0134*</w:t>
            </w:r>
          </w:p>
        </w:tc>
        <w:tc>
          <w:tcPr>
            <w:tcW w:w="890" w:type="pct"/>
            <w:tcBorders>
              <w:top w:val="nil"/>
              <w:left w:val="nil"/>
              <w:bottom w:val="nil"/>
              <w:right w:val="nil"/>
            </w:tcBorders>
          </w:tcPr>
          <w:p w14:paraId="278CADC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0.0163**</w:t>
            </w:r>
          </w:p>
        </w:tc>
        <w:tc>
          <w:tcPr>
            <w:tcW w:w="891" w:type="pct"/>
            <w:tcBorders>
              <w:top w:val="nil"/>
              <w:left w:val="nil"/>
              <w:bottom w:val="nil"/>
              <w:right w:val="nil"/>
            </w:tcBorders>
          </w:tcPr>
          <w:p w14:paraId="5AF38A8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0.0160**</w:t>
            </w:r>
          </w:p>
        </w:tc>
      </w:tr>
      <w:tr w:rsidR="009B0760" w:rsidRPr="00AB5351" w14:paraId="156839A9" w14:textId="77777777" w:rsidTr="009B0760">
        <w:tc>
          <w:tcPr>
            <w:tcW w:w="1597" w:type="pct"/>
            <w:tcBorders>
              <w:top w:val="nil"/>
              <w:left w:val="nil"/>
              <w:bottom w:val="nil"/>
              <w:right w:val="nil"/>
            </w:tcBorders>
          </w:tcPr>
          <w:p w14:paraId="0A7DF6B3"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1D6DF3D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(0.00616)</w:t>
            </w:r>
          </w:p>
        </w:tc>
        <w:tc>
          <w:tcPr>
            <w:tcW w:w="811" w:type="pct"/>
            <w:tcBorders>
              <w:top w:val="nil"/>
              <w:left w:val="nil"/>
              <w:bottom w:val="nil"/>
              <w:right w:val="nil"/>
            </w:tcBorders>
          </w:tcPr>
          <w:p w14:paraId="1E31400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(0.00731)</w:t>
            </w:r>
          </w:p>
        </w:tc>
        <w:tc>
          <w:tcPr>
            <w:tcW w:w="890" w:type="pct"/>
            <w:tcBorders>
              <w:top w:val="nil"/>
              <w:left w:val="nil"/>
              <w:bottom w:val="nil"/>
              <w:right w:val="nil"/>
            </w:tcBorders>
          </w:tcPr>
          <w:p w14:paraId="6271FEB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(0.00737)</w:t>
            </w:r>
          </w:p>
        </w:tc>
        <w:tc>
          <w:tcPr>
            <w:tcW w:w="891" w:type="pct"/>
            <w:tcBorders>
              <w:top w:val="nil"/>
              <w:left w:val="nil"/>
              <w:bottom w:val="nil"/>
              <w:right w:val="nil"/>
            </w:tcBorders>
          </w:tcPr>
          <w:p w14:paraId="4A46B3B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(0.00703)</w:t>
            </w:r>
          </w:p>
        </w:tc>
      </w:tr>
      <w:tr w:rsidR="009B0760" w:rsidRPr="00AB5351" w14:paraId="0652BD02" w14:textId="77777777" w:rsidTr="009B0760">
        <w:tc>
          <w:tcPr>
            <w:tcW w:w="1597" w:type="pct"/>
            <w:tcBorders>
              <w:top w:val="nil"/>
              <w:left w:val="nil"/>
              <w:bottom w:val="nil"/>
              <w:right w:val="nil"/>
            </w:tcBorders>
          </w:tcPr>
          <w:p w14:paraId="5A78D040"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67DA0881"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3285343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3B31561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6EC13D1F"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22ACED95" w14:textId="77777777" w:rsidTr="009B0760">
        <w:tc>
          <w:tcPr>
            <w:tcW w:w="1597" w:type="pct"/>
            <w:tcBorders>
              <w:top w:val="nil"/>
              <w:left w:val="nil"/>
              <w:bottom w:val="nil"/>
              <w:right w:val="nil"/>
            </w:tcBorders>
          </w:tcPr>
          <w:p w14:paraId="2F29BB30"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agriculture</w:t>
            </w:r>
          </w:p>
        </w:tc>
        <w:tc>
          <w:tcPr>
            <w:tcW w:w="811" w:type="pct"/>
            <w:tcBorders>
              <w:top w:val="nil"/>
              <w:left w:val="nil"/>
              <w:bottom w:val="nil"/>
              <w:right w:val="nil"/>
            </w:tcBorders>
          </w:tcPr>
          <w:p w14:paraId="6EFEE286"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-0.0999**</w:t>
            </w:r>
          </w:p>
        </w:tc>
        <w:tc>
          <w:tcPr>
            <w:tcW w:w="811" w:type="pct"/>
            <w:tcBorders>
              <w:top w:val="nil"/>
              <w:left w:val="nil"/>
              <w:bottom w:val="nil"/>
              <w:right w:val="nil"/>
            </w:tcBorders>
          </w:tcPr>
          <w:p w14:paraId="43451076"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-0.0934**</w:t>
            </w:r>
          </w:p>
        </w:tc>
        <w:tc>
          <w:tcPr>
            <w:tcW w:w="890" w:type="pct"/>
            <w:tcBorders>
              <w:top w:val="nil"/>
              <w:left w:val="nil"/>
              <w:bottom w:val="nil"/>
              <w:right w:val="nil"/>
            </w:tcBorders>
          </w:tcPr>
          <w:p w14:paraId="4B955A5B"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-0.0858**</w:t>
            </w:r>
          </w:p>
        </w:tc>
        <w:tc>
          <w:tcPr>
            <w:tcW w:w="891" w:type="pct"/>
            <w:tcBorders>
              <w:top w:val="nil"/>
              <w:left w:val="nil"/>
              <w:bottom w:val="nil"/>
              <w:right w:val="nil"/>
            </w:tcBorders>
          </w:tcPr>
          <w:p w14:paraId="3BB8269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-0.0826**</w:t>
            </w:r>
          </w:p>
        </w:tc>
      </w:tr>
      <w:tr w:rsidR="009B0760" w:rsidRPr="00AB5351" w14:paraId="53BBE5AE" w14:textId="77777777" w:rsidTr="009B0760">
        <w:tc>
          <w:tcPr>
            <w:tcW w:w="1597" w:type="pct"/>
            <w:tcBorders>
              <w:top w:val="nil"/>
              <w:left w:val="nil"/>
              <w:bottom w:val="nil"/>
              <w:right w:val="nil"/>
            </w:tcBorders>
          </w:tcPr>
          <w:p w14:paraId="5F234398"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66E50F9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(0.0115)</w:t>
            </w:r>
          </w:p>
        </w:tc>
        <w:tc>
          <w:tcPr>
            <w:tcW w:w="811" w:type="pct"/>
            <w:tcBorders>
              <w:top w:val="nil"/>
              <w:left w:val="nil"/>
              <w:bottom w:val="nil"/>
              <w:right w:val="nil"/>
            </w:tcBorders>
          </w:tcPr>
          <w:p w14:paraId="7C93C08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(0.0136)</w:t>
            </w:r>
          </w:p>
        </w:tc>
        <w:tc>
          <w:tcPr>
            <w:tcW w:w="890" w:type="pct"/>
            <w:tcBorders>
              <w:top w:val="nil"/>
              <w:left w:val="nil"/>
              <w:bottom w:val="nil"/>
              <w:right w:val="nil"/>
            </w:tcBorders>
          </w:tcPr>
          <w:p w14:paraId="4B4D455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(0.0138)</w:t>
            </w:r>
          </w:p>
        </w:tc>
        <w:tc>
          <w:tcPr>
            <w:tcW w:w="891" w:type="pct"/>
            <w:tcBorders>
              <w:top w:val="nil"/>
              <w:left w:val="nil"/>
              <w:bottom w:val="nil"/>
              <w:right w:val="nil"/>
            </w:tcBorders>
          </w:tcPr>
          <w:p w14:paraId="6E692BA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(0.0145)</w:t>
            </w:r>
          </w:p>
        </w:tc>
      </w:tr>
      <w:tr w:rsidR="009B0760" w:rsidRPr="00AB5351" w14:paraId="5AC2A4A7" w14:textId="77777777" w:rsidTr="009B0760">
        <w:tc>
          <w:tcPr>
            <w:tcW w:w="1597" w:type="pct"/>
            <w:tcBorders>
              <w:top w:val="nil"/>
              <w:left w:val="nil"/>
              <w:bottom w:val="nil"/>
              <w:right w:val="nil"/>
            </w:tcBorders>
          </w:tcPr>
          <w:p w14:paraId="6A67198D"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104C322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562CECA4"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147F2DB1"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6E08982B"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09548D" w14:paraId="7C3D6969" w14:textId="77777777" w:rsidTr="009B0760">
        <w:tc>
          <w:tcPr>
            <w:tcW w:w="1597" w:type="pct"/>
            <w:tcBorders>
              <w:top w:val="nil"/>
              <w:left w:val="nil"/>
              <w:bottom w:val="nil"/>
              <w:right w:val="nil"/>
            </w:tcBorders>
          </w:tcPr>
          <w:p w14:paraId="78337E65" w14:textId="77777777" w:rsidR="009B0760" w:rsidRPr="00C06AD3"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C06AD3">
              <w:rPr>
                <w:rFonts w:ascii="Times New Roman" w:eastAsiaTheme="minorEastAsia" w:hAnsi="Times New Roman" w:cs="Times New Roman"/>
                <w:sz w:val="20"/>
                <w:szCs w:val="20"/>
              </w:rPr>
              <w:t>politicalstability</w:t>
            </w:r>
            <w:proofErr w:type="spellEnd"/>
          </w:p>
        </w:tc>
        <w:tc>
          <w:tcPr>
            <w:tcW w:w="811" w:type="pct"/>
            <w:tcBorders>
              <w:top w:val="nil"/>
              <w:left w:val="nil"/>
              <w:bottom w:val="nil"/>
              <w:right w:val="nil"/>
            </w:tcBorders>
          </w:tcPr>
          <w:p w14:paraId="6A84DFD3"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068B9AAA"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C06AD3">
              <w:rPr>
                <w:rFonts w:ascii="Times New Roman" w:eastAsiaTheme="minorEastAsia" w:hAnsi="Times New Roman" w:cs="Times New Roman"/>
                <w:sz w:val="20"/>
                <w:szCs w:val="20"/>
              </w:rPr>
              <w:t>-0.00228</w:t>
            </w:r>
          </w:p>
        </w:tc>
        <w:tc>
          <w:tcPr>
            <w:tcW w:w="890" w:type="pct"/>
            <w:tcBorders>
              <w:top w:val="nil"/>
              <w:left w:val="nil"/>
              <w:bottom w:val="nil"/>
              <w:right w:val="nil"/>
            </w:tcBorders>
          </w:tcPr>
          <w:p w14:paraId="34B92CA6"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3EF29B52"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09548D" w14:paraId="54D0621F" w14:textId="77777777" w:rsidTr="009B0760">
        <w:tc>
          <w:tcPr>
            <w:tcW w:w="1597" w:type="pct"/>
            <w:tcBorders>
              <w:top w:val="nil"/>
              <w:left w:val="nil"/>
              <w:bottom w:val="nil"/>
              <w:right w:val="nil"/>
            </w:tcBorders>
          </w:tcPr>
          <w:p w14:paraId="5B01CC11" w14:textId="77777777" w:rsidR="009B0760" w:rsidRPr="00C06AD3"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6EFE89CE"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35F997AD"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C06AD3">
              <w:rPr>
                <w:rFonts w:ascii="Times New Roman" w:eastAsiaTheme="minorEastAsia" w:hAnsi="Times New Roman" w:cs="Times New Roman"/>
                <w:sz w:val="20"/>
                <w:szCs w:val="20"/>
              </w:rPr>
              <w:t>(0.00167)</w:t>
            </w:r>
          </w:p>
        </w:tc>
        <w:tc>
          <w:tcPr>
            <w:tcW w:w="890" w:type="pct"/>
            <w:tcBorders>
              <w:top w:val="nil"/>
              <w:left w:val="nil"/>
              <w:bottom w:val="nil"/>
              <w:right w:val="nil"/>
            </w:tcBorders>
          </w:tcPr>
          <w:p w14:paraId="433C9ACB"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070B3A83" w14:textId="77777777" w:rsidR="009B0760" w:rsidRPr="00C06AD3"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24665EB7" w14:textId="77777777" w:rsidTr="009B0760">
        <w:tc>
          <w:tcPr>
            <w:tcW w:w="1597" w:type="pct"/>
            <w:tcBorders>
              <w:top w:val="nil"/>
              <w:left w:val="nil"/>
              <w:bottom w:val="nil"/>
              <w:right w:val="nil"/>
            </w:tcBorders>
          </w:tcPr>
          <w:p w14:paraId="59511162"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1614B971"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341AD98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0518C43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222C9BE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4E6D4A6E" w14:textId="77777777" w:rsidTr="009B0760">
        <w:tc>
          <w:tcPr>
            <w:tcW w:w="1597" w:type="pct"/>
            <w:tcBorders>
              <w:top w:val="nil"/>
              <w:left w:val="nil"/>
              <w:bottom w:val="nil"/>
              <w:right w:val="nil"/>
            </w:tcBorders>
          </w:tcPr>
          <w:p w14:paraId="064C4BE1"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AB5351">
              <w:rPr>
                <w:rFonts w:ascii="Times New Roman" w:eastAsiaTheme="minorEastAsia" w:hAnsi="Times New Roman" w:cs="Times New Roman"/>
                <w:sz w:val="20"/>
                <w:szCs w:val="20"/>
              </w:rPr>
              <w:t>resourcerent</w:t>
            </w:r>
            <w:proofErr w:type="spellEnd"/>
            <w:r w:rsidRPr="00AB5351">
              <w:rPr>
                <w:rFonts w:ascii="Times New Roman" w:eastAsiaTheme="minorEastAsia" w:hAnsi="Times New Roman" w:cs="Times New Roman"/>
                <w:sz w:val="20"/>
                <w:szCs w:val="20"/>
              </w:rPr>
              <w:t>*</w:t>
            </w:r>
            <w:proofErr w:type="spellStart"/>
            <w:r w:rsidRPr="00AB5351">
              <w:rPr>
                <w:rFonts w:ascii="Times New Roman" w:eastAsiaTheme="minorEastAsia" w:hAnsi="Times New Roman" w:cs="Times New Roman"/>
                <w:sz w:val="20"/>
                <w:szCs w:val="20"/>
              </w:rPr>
              <w:t>politicalstability</w:t>
            </w:r>
            <w:proofErr w:type="spellEnd"/>
          </w:p>
        </w:tc>
        <w:tc>
          <w:tcPr>
            <w:tcW w:w="811" w:type="pct"/>
            <w:tcBorders>
              <w:top w:val="nil"/>
              <w:left w:val="nil"/>
              <w:bottom w:val="nil"/>
              <w:right w:val="nil"/>
            </w:tcBorders>
          </w:tcPr>
          <w:p w14:paraId="3807AF76"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19E3089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-0.00782*</w:t>
            </w:r>
          </w:p>
        </w:tc>
        <w:tc>
          <w:tcPr>
            <w:tcW w:w="890" w:type="pct"/>
            <w:tcBorders>
              <w:top w:val="nil"/>
              <w:left w:val="nil"/>
              <w:bottom w:val="nil"/>
              <w:right w:val="nil"/>
            </w:tcBorders>
          </w:tcPr>
          <w:p w14:paraId="35CDC16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318174DF"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380CA6D3" w14:textId="77777777" w:rsidTr="009B0760">
        <w:tc>
          <w:tcPr>
            <w:tcW w:w="1597" w:type="pct"/>
            <w:tcBorders>
              <w:top w:val="nil"/>
              <w:left w:val="nil"/>
              <w:bottom w:val="nil"/>
              <w:right w:val="nil"/>
            </w:tcBorders>
          </w:tcPr>
          <w:p w14:paraId="51CD395F"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491EE26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40E16589"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(0.00576)</w:t>
            </w:r>
          </w:p>
        </w:tc>
        <w:tc>
          <w:tcPr>
            <w:tcW w:w="890" w:type="pct"/>
            <w:tcBorders>
              <w:top w:val="nil"/>
              <w:left w:val="nil"/>
              <w:bottom w:val="nil"/>
              <w:right w:val="nil"/>
            </w:tcBorders>
          </w:tcPr>
          <w:p w14:paraId="22010ED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1DA402D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528236A4" w14:textId="77777777" w:rsidTr="009B0760">
        <w:tc>
          <w:tcPr>
            <w:tcW w:w="1597" w:type="pct"/>
            <w:tcBorders>
              <w:top w:val="nil"/>
              <w:left w:val="nil"/>
              <w:bottom w:val="nil"/>
              <w:right w:val="nil"/>
            </w:tcBorders>
          </w:tcPr>
          <w:p w14:paraId="5868CE82"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47C7339B"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4013AE1B"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4E0B11C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19B5120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092ABA83" w14:textId="77777777" w:rsidTr="009B0760">
        <w:tc>
          <w:tcPr>
            <w:tcW w:w="1597" w:type="pct"/>
            <w:tcBorders>
              <w:top w:val="nil"/>
              <w:left w:val="nil"/>
              <w:bottom w:val="nil"/>
              <w:right w:val="nil"/>
            </w:tcBorders>
          </w:tcPr>
          <w:p w14:paraId="68771B13"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manufacture*</w:t>
            </w:r>
            <w:proofErr w:type="spellStart"/>
            <w:r w:rsidRPr="00AB5351">
              <w:rPr>
                <w:rFonts w:ascii="Times New Roman" w:eastAsiaTheme="minorEastAsia" w:hAnsi="Times New Roman" w:cs="Times New Roman"/>
                <w:sz w:val="20"/>
                <w:szCs w:val="20"/>
              </w:rPr>
              <w:t>politicalstability</w:t>
            </w:r>
            <w:proofErr w:type="spellEnd"/>
          </w:p>
        </w:tc>
        <w:tc>
          <w:tcPr>
            <w:tcW w:w="811" w:type="pct"/>
            <w:tcBorders>
              <w:top w:val="nil"/>
              <w:left w:val="nil"/>
              <w:bottom w:val="nil"/>
              <w:right w:val="nil"/>
            </w:tcBorders>
          </w:tcPr>
          <w:p w14:paraId="3C569E84"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620BF60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0.0105**</w:t>
            </w:r>
          </w:p>
        </w:tc>
        <w:tc>
          <w:tcPr>
            <w:tcW w:w="890" w:type="pct"/>
            <w:tcBorders>
              <w:top w:val="nil"/>
              <w:left w:val="nil"/>
              <w:bottom w:val="nil"/>
              <w:right w:val="nil"/>
            </w:tcBorders>
          </w:tcPr>
          <w:p w14:paraId="7FEA8711"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634C822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611B5E1F" w14:textId="77777777" w:rsidTr="009B0760">
        <w:tc>
          <w:tcPr>
            <w:tcW w:w="1597" w:type="pct"/>
            <w:tcBorders>
              <w:top w:val="nil"/>
              <w:left w:val="nil"/>
              <w:bottom w:val="nil"/>
              <w:right w:val="nil"/>
            </w:tcBorders>
          </w:tcPr>
          <w:p w14:paraId="4741F5FA"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48864F1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6395D676"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(0.00448)</w:t>
            </w:r>
          </w:p>
        </w:tc>
        <w:tc>
          <w:tcPr>
            <w:tcW w:w="890" w:type="pct"/>
            <w:tcBorders>
              <w:top w:val="nil"/>
              <w:left w:val="nil"/>
              <w:bottom w:val="nil"/>
              <w:right w:val="nil"/>
            </w:tcBorders>
          </w:tcPr>
          <w:p w14:paraId="06515F49"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7AC13501"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7A2AA4D9" w14:textId="77777777" w:rsidTr="009B0760">
        <w:tc>
          <w:tcPr>
            <w:tcW w:w="1597" w:type="pct"/>
            <w:tcBorders>
              <w:top w:val="nil"/>
              <w:left w:val="nil"/>
              <w:bottom w:val="nil"/>
              <w:right w:val="nil"/>
            </w:tcBorders>
          </w:tcPr>
          <w:p w14:paraId="71F6C7B7"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2358AC5F"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1BD979C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012182C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7DA33B66"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302555A6" w14:textId="77777777" w:rsidTr="009B0760">
        <w:tc>
          <w:tcPr>
            <w:tcW w:w="1597" w:type="pct"/>
            <w:tcBorders>
              <w:top w:val="nil"/>
              <w:left w:val="nil"/>
              <w:bottom w:val="nil"/>
              <w:right w:val="nil"/>
            </w:tcBorders>
          </w:tcPr>
          <w:p w14:paraId="51031AAF"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agriculture*</w:t>
            </w:r>
            <w:proofErr w:type="spellStart"/>
            <w:r w:rsidRPr="00AB5351">
              <w:rPr>
                <w:rFonts w:ascii="Times New Roman" w:eastAsiaTheme="minorEastAsia" w:hAnsi="Times New Roman" w:cs="Times New Roman"/>
                <w:sz w:val="20"/>
                <w:szCs w:val="20"/>
              </w:rPr>
              <w:t>politicalstability</w:t>
            </w:r>
            <w:proofErr w:type="spellEnd"/>
          </w:p>
        </w:tc>
        <w:tc>
          <w:tcPr>
            <w:tcW w:w="811" w:type="pct"/>
            <w:tcBorders>
              <w:top w:val="nil"/>
              <w:left w:val="nil"/>
              <w:bottom w:val="nil"/>
              <w:right w:val="nil"/>
            </w:tcBorders>
          </w:tcPr>
          <w:p w14:paraId="7F237D2B"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0F85D369"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0.00441</w:t>
            </w:r>
          </w:p>
        </w:tc>
        <w:tc>
          <w:tcPr>
            <w:tcW w:w="890" w:type="pct"/>
            <w:tcBorders>
              <w:top w:val="nil"/>
              <w:left w:val="nil"/>
              <w:bottom w:val="nil"/>
              <w:right w:val="nil"/>
            </w:tcBorders>
          </w:tcPr>
          <w:p w14:paraId="1C0C0F21"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15AD305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5EB862A3" w14:textId="77777777" w:rsidTr="009B0760">
        <w:tc>
          <w:tcPr>
            <w:tcW w:w="1597" w:type="pct"/>
            <w:tcBorders>
              <w:top w:val="nil"/>
              <w:left w:val="nil"/>
              <w:bottom w:val="nil"/>
              <w:right w:val="nil"/>
            </w:tcBorders>
          </w:tcPr>
          <w:p w14:paraId="2353906E"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57D89E9B"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2C49879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(0.00571)</w:t>
            </w:r>
          </w:p>
        </w:tc>
        <w:tc>
          <w:tcPr>
            <w:tcW w:w="890" w:type="pct"/>
            <w:tcBorders>
              <w:top w:val="nil"/>
              <w:left w:val="nil"/>
              <w:bottom w:val="nil"/>
              <w:right w:val="nil"/>
            </w:tcBorders>
          </w:tcPr>
          <w:p w14:paraId="1BE25E54"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56498D2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535A6233" w14:textId="77777777" w:rsidTr="009B0760">
        <w:tc>
          <w:tcPr>
            <w:tcW w:w="1597" w:type="pct"/>
            <w:tcBorders>
              <w:top w:val="nil"/>
              <w:left w:val="nil"/>
              <w:bottom w:val="nil"/>
              <w:right w:val="nil"/>
            </w:tcBorders>
          </w:tcPr>
          <w:p w14:paraId="62ACE8C5"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1E6ABA71"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7F7F319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4D9ED5C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617B543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FD6E3C" w14:paraId="010BA8FB" w14:textId="77777777" w:rsidTr="009B0760">
        <w:tc>
          <w:tcPr>
            <w:tcW w:w="1597" w:type="pct"/>
            <w:tcBorders>
              <w:top w:val="nil"/>
              <w:left w:val="nil"/>
              <w:bottom w:val="nil"/>
              <w:right w:val="nil"/>
            </w:tcBorders>
          </w:tcPr>
          <w:p w14:paraId="4D761C69" w14:textId="77777777" w:rsidR="009B0760" w:rsidRPr="009A413D"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9A413D">
              <w:rPr>
                <w:rFonts w:ascii="Times New Roman" w:eastAsiaTheme="minorEastAsia" w:hAnsi="Times New Roman" w:cs="Times New Roman"/>
                <w:sz w:val="20"/>
                <w:szCs w:val="20"/>
              </w:rPr>
              <w:t>regquality</w:t>
            </w:r>
            <w:proofErr w:type="spellEnd"/>
          </w:p>
        </w:tc>
        <w:tc>
          <w:tcPr>
            <w:tcW w:w="811" w:type="pct"/>
            <w:tcBorders>
              <w:top w:val="nil"/>
              <w:left w:val="nil"/>
              <w:bottom w:val="nil"/>
              <w:right w:val="nil"/>
            </w:tcBorders>
          </w:tcPr>
          <w:p w14:paraId="472CD8D6"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1E876AC7"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4C181063"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-0.0120**</w:t>
            </w:r>
          </w:p>
        </w:tc>
        <w:tc>
          <w:tcPr>
            <w:tcW w:w="891" w:type="pct"/>
            <w:tcBorders>
              <w:top w:val="nil"/>
              <w:left w:val="nil"/>
              <w:bottom w:val="nil"/>
              <w:right w:val="nil"/>
            </w:tcBorders>
          </w:tcPr>
          <w:p w14:paraId="5239735D"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FD6E3C" w14:paraId="088A0919" w14:textId="77777777" w:rsidTr="009B0760">
        <w:tc>
          <w:tcPr>
            <w:tcW w:w="1597" w:type="pct"/>
            <w:tcBorders>
              <w:top w:val="nil"/>
              <w:left w:val="nil"/>
              <w:bottom w:val="nil"/>
              <w:right w:val="nil"/>
            </w:tcBorders>
          </w:tcPr>
          <w:p w14:paraId="375E51C4" w14:textId="77777777" w:rsidR="009B0760" w:rsidRPr="009A413D"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3873A8F7"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4825EC17"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71DEF875"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(0.00340)</w:t>
            </w:r>
          </w:p>
        </w:tc>
        <w:tc>
          <w:tcPr>
            <w:tcW w:w="891" w:type="pct"/>
            <w:tcBorders>
              <w:top w:val="nil"/>
              <w:left w:val="nil"/>
              <w:bottom w:val="nil"/>
              <w:right w:val="nil"/>
            </w:tcBorders>
          </w:tcPr>
          <w:p w14:paraId="11EE92FF"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25697A33" w14:textId="77777777" w:rsidTr="009B0760">
        <w:tc>
          <w:tcPr>
            <w:tcW w:w="1597" w:type="pct"/>
            <w:tcBorders>
              <w:top w:val="nil"/>
              <w:left w:val="nil"/>
              <w:bottom w:val="nil"/>
              <w:right w:val="nil"/>
            </w:tcBorders>
          </w:tcPr>
          <w:p w14:paraId="328BA9FF"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3305720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72F460F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2437D4B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0CE76DB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2EA8F684" w14:textId="77777777" w:rsidTr="009B0760">
        <w:tc>
          <w:tcPr>
            <w:tcW w:w="1597" w:type="pct"/>
            <w:tcBorders>
              <w:top w:val="nil"/>
              <w:left w:val="nil"/>
              <w:bottom w:val="nil"/>
              <w:right w:val="nil"/>
            </w:tcBorders>
          </w:tcPr>
          <w:p w14:paraId="5A81B325"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AB5351">
              <w:rPr>
                <w:rFonts w:ascii="Times New Roman" w:eastAsiaTheme="minorEastAsia" w:hAnsi="Times New Roman" w:cs="Times New Roman"/>
                <w:sz w:val="20"/>
                <w:szCs w:val="20"/>
              </w:rPr>
              <w:t>resourcerent</w:t>
            </w:r>
            <w:proofErr w:type="spellEnd"/>
            <w:r w:rsidRPr="00AB5351">
              <w:rPr>
                <w:rFonts w:ascii="Times New Roman" w:eastAsiaTheme="minorEastAsia" w:hAnsi="Times New Roman" w:cs="Times New Roman"/>
                <w:sz w:val="20"/>
                <w:szCs w:val="20"/>
              </w:rPr>
              <w:t>*</w:t>
            </w:r>
            <w:proofErr w:type="spellStart"/>
            <w:r w:rsidRPr="00AB5351">
              <w:rPr>
                <w:rFonts w:ascii="Times New Roman" w:eastAsiaTheme="minorEastAsia" w:hAnsi="Times New Roman" w:cs="Times New Roman"/>
                <w:sz w:val="20"/>
                <w:szCs w:val="20"/>
              </w:rPr>
              <w:t>regquality</w:t>
            </w:r>
            <w:proofErr w:type="spellEnd"/>
          </w:p>
        </w:tc>
        <w:tc>
          <w:tcPr>
            <w:tcW w:w="811" w:type="pct"/>
            <w:tcBorders>
              <w:top w:val="nil"/>
              <w:left w:val="nil"/>
              <w:bottom w:val="nil"/>
              <w:right w:val="nil"/>
            </w:tcBorders>
          </w:tcPr>
          <w:p w14:paraId="3CC26A4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09733B5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24B78E5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-0.00788</w:t>
            </w:r>
          </w:p>
        </w:tc>
        <w:tc>
          <w:tcPr>
            <w:tcW w:w="891" w:type="pct"/>
            <w:tcBorders>
              <w:top w:val="nil"/>
              <w:left w:val="nil"/>
              <w:bottom w:val="nil"/>
              <w:right w:val="nil"/>
            </w:tcBorders>
          </w:tcPr>
          <w:p w14:paraId="30DD238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757FA946" w14:textId="77777777" w:rsidTr="009B0760">
        <w:tc>
          <w:tcPr>
            <w:tcW w:w="1597" w:type="pct"/>
            <w:tcBorders>
              <w:top w:val="nil"/>
              <w:left w:val="nil"/>
              <w:bottom w:val="nil"/>
              <w:right w:val="nil"/>
            </w:tcBorders>
          </w:tcPr>
          <w:p w14:paraId="23060530"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3901D71B"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16A60A64"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7AE96129"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(0.00706)</w:t>
            </w:r>
          </w:p>
        </w:tc>
        <w:tc>
          <w:tcPr>
            <w:tcW w:w="891" w:type="pct"/>
            <w:tcBorders>
              <w:top w:val="nil"/>
              <w:left w:val="nil"/>
              <w:bottom w:val="nil"/>
              <w:right w:val="nil"/>
            </w:tcBorders>
          </w:tcPr>
          <w:p w14:paraId="664162F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05257A6E" w14:textId="77777777" w:rsidTr="009B0760">
        <w:tc>
          <w:tcPr>
            <w:tcW w:w="1597" w:type="pct"/>
            <w:tcBorders>
              <w:top w:val="nil"/>
              <w:left w:val="nil"/>
              <w:bottom w:val="nil"/>
              <w:right w:val="nil"/>
            </w:tcBorders>
          </w:tcPr>
          <w:p w14:paraId="3D8DDE10"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068CDA91"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64A99C7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59E4F02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3EDED1D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5CE38C6C" w14:textId="77777777" w:rsidTr="009B0760">
        <w:tc>
          <w:tcPr>
            <w:tcW w:w="1597" w:type="pct"/>
            <w:tcBorders>
              <w:top w:val="nil"/>
              <w:left w:val="nil"/>
              <w:bottom w:val="nil"/>
              <w:right w:val="nil"/>
            </w:tcBorders>
          </w:tcPr>
          <w:p w14:paraId="09D68676"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manufacture*</w:t>
            </w:r>
            <w:proofErr w:type="spellStart"/>
            <w:r w:rsidRPr="00AB5351">
              <w:rPr>
                <w:rFonts w:ascii="Times New Roman" w:eastAsiaTheme="minorEastAsia" w:hAnsi="Times New Roman" w:cs="Times New Roman"/>
                <w:sz w:val="20"/>
                <w:szCs w:val="20"/>
              </w:rPr>
              <w:t>regquality</w:t>
            </w:r>
            <w:proofErr w:type="spellEnd"/>
          </w:p>
        </w:tc>
        <w:tc>
          <w:tcPr>
            <w:tcW w:w="811" w:type="pct"/>
            <w:tcBorders>
              <w:top w:val="nil"/>
              <w:left w:val="nil"/>
              <w:bottom w:val="nil"/>
              <w:right w:val="nil"/>
            </w:tcBorders>
          </w:tcPr>
          <w:p w14:paraId="05F10EB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0BCD947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68C6405F"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0.00215</w:t>
            </w:r>
          </w:p>
        </w:tc>
        <w:tc>
          <w:tcPr>
            <w:tcW w:w="891" w:type="pct"/>
            <w:tcBorders>
              <w:top w:val="nil"/>
              <w:left w:val="nil"/>
              <w:bottom w:val="nil"/>
              <w:right w:val="nil"/>
            </w:tcBorders>
          </w:tcPr>
          <w:p w14:paraId="18A068D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5CDCE0CB" w14:textId="77777777" w:rsidTr="009B0760">
        <w:tc>
          <w:tcPr>
            <w:tcW w:w="1597" w:type="pct"/>
            <w:tcBorders>
              <w:top w:val="nil"/>
              <w:left w:val="nil"/>
              <w:bottom w:val="nil"/>
              <w:right w:val="nil"/>
            </w:tcBorders>
          </w:tcPr>
          <w:p w14:paraId="208EF689"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27949D71"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0B68D05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4F0C8C3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(0.00472)</w:t>
            </w:r>
          </w:p>
        </w:tc>
        <w:tc>
          <w:tcPr>
            <w:tcW w:w="891" w:type="pct"/>
            <w:tcBorders>
              <w:top w:val="nil"/>
              <w:left w:val="nil"/>
              <w:bottom w:val="nil"/>
              <w:right w:val="nil"/>
            </w:tcBorders>
          </w:tcPr>
          <w:p w14:paraId="2F6BFD3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3FB06B2C" w14:textId="77777777" w:rsidTr="009B0760">
        <w:tc>
          <w:tcPr>
            <w:tcW w:w="1597" w:type="pct"/>
            <w:tcBorders>
              <w:top w:val="nil"/>
              <w:left w:val="nil"/>
              <w:bottom w:val="nil"/>
              <w:right w:val="nil"/>
            </w:tcBorders>
          </w:tcPr>
          <w:p w14:paraId="20A8BB17"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041E380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1659044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700591B9"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20B44B1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2DF33E99" w14:textId="77777777" w:rsidTr="009B0760">
        <w:tc>
          <w:tcPr>
            <w:tcW w:w="1597" w:type="pct"/>
            <w:tcBorders>
              <w:top w:val="nil"/>
              <w:left w:val="nil"/>
              <w:bottom w:val="nil"/>
              <w:right w:val="nil"/>
            </w:tcBorders>
          </w:tcPr>
          <w:p w14:paraId="6E0C3FF6"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agriculture*</w:t>
            </w:r>
            <w:proofErr w:type="spellStart"/>
            <w:r w:rsidRPr="00AB5351">
              <w:rPr>
                <w:rFonts w:ascii="Times New Roman" w:eastAsiaTheme="minorEastAsia" w:hAnsi="Times New Roman" w:cs="Times New Roman"/>
                <w:sz w:val="20"/>
                <w:szCs w:val="20"/>
              </w:rPr>
              <w:t>regquality</w:t>
            </w:r>
            <w:proofErr w:type="spellEnd"/>
          </w:p>
        </w:tc>
        <w:tc>
          <w:tcPr>
            <w:tcW w:w="811" w:type="pct"/>
            <w:tcBorders>
              <w:top w:val="nil"/>
              <w:left w:val="nil"/>
              <w:bottom w:val="nil"/>
              <w:right w:val="nil"/>
            </w:tcBorders>
          </w:tcPr>
          <w:p w14:paraId="66FEBD6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55B5B83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376909F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0.0266**</w:t>
            </w:r>
          </w:p>
        </w:tc>
        <w:tc>
          <w:tcPr>
            <w:tcW w:w="891" w:type="pct"/>
            <w:tcBorders>
              <w:top w:val="nil"/>
              <w:left w:val="nil"/>
              <w:bottom w:val="nil"/>
              <w:right w:val="nil"/>
            </w:tcBorders>
          </w:tcPr>
          <w:p w14:paraId="53B04FD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560A0EF0" w14:textId="77777777" w:rsidTr="009B0760">
        <w:tc>
          <w:tcPr>
            <w:tcW w:w="1597" w:type="pct"/>
            <w:tcBorders>
              <w:top w:val="nil"/>
              <w:left w:val="nil"/>
              <w:bottom w:val="nil"/>
              <w:right w:val="nil"/>
            </w:tcBorders>
          </w:tcPr>
          <w:p w14:paraId="67B55177"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320332E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3FC568C4"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135109A9"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(0.00973)</w:t>
            </w:r>
          </w:p>
        </w:tc>
        <w:tc>
          <w:tcPr>
            <w:tcW w:w="891" w:type="pct"/>
            <w:tcBorders>
              <w:top w:val="nil"/>
              <w:left w:val="nil"/>
              <w:bottom w:val="nil"/>
              <w:right w:val="nil"/>
            </w:tcBorders>
          </w:tcPr>
          <w:p w14:paraId="26EC65C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106BEF2C" w14:textId="77777777" w:rsidTr="009B0760">
        <w:tc>
          <w:tcPr>
            <w:tcW w:w="1597" w:type="pct"/>
            <w:tcBorders>
              <w:top w:val="nil"/>
              <w:left w:val="nil"/>
              <w:bottom w:val="nil"/>
              <w:right w:val="nil"/>
            </w:tcBorders>
          </w:tcPr>
          <w:p w14:paraId="5AEBE022"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2602551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42880E6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789E6414"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6F725676"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FD6E3C" w14:paraId="38012D3B" w14:textId="77777777" w:rsidTr="009B0760">
        <w:tc>
          <w:tcPr>
            <w:tcW w:w="1597" w:type="pct"/>
            <w:tcBorders>
              <w:top w:val="nil"/>
              <w:left w:val="nil"/>
              <w:bottom w:val="nil"/>
              <w:right w:val="nil"/>
            </w:tcBorders>
          </w:tcPr>
          <w:p w14:paraId="17C319AB" w14:textId="77777777" w:rsidR="009B0760" w:rsidRPr="009A413D"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9A413D">
              <w:rPr>
                <w:rFonts w:ascii="Times New Roman" w:eastAsiaTheme="minorEastAsia" w:hAnsi="Times New Roman" w:cs="Times New Roman"/>
                <w:sz w:val="20"/>
                <w:szCs w:val="20"/>
              </w:rPr>
              <w:t>ruleoflaw</w:t>
            </w:r>
            <w:proofErr w:type="spellEnd"/>
          </w:p>
        </w:tc>
        <w:tc>
          <w:tcPr>
            <w:tcW w:w="811" w:type="pct"/>
            <w:tcBorders>
              <w:top w:val="nil"/>
              <w:left w:val="nil"/>
              <w:bottom w:val="nil"/>
              <w:right w:val="nil"/>
            </w:tcBorders>
          </w:tcPr>
          <w:p w14:paraId="32BC6ED1"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01F41C86"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0CF6F6EE"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796BCF6B"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-0.0164**</w:t>
            </w:r>
          </w:p>
        </w:tc>
      </w:tr>
      <w:tr w:rsidR="009B0760" w:rsidRPr="00FD6E3C" w14:paraId="4A710951" w14:textId="77777777" w:rsidTr="009B0760">
        <w:tc>
          <w:tcPr>
            <w:tcW w:w="1597" w:type="pct"/>
            <w:tcBorders>
              <w:top w:val="nil"/>
              <w:left w:val="nil"/>
              <w:bottom w:val="nil"/>
              <w:right w:val="nil"/>
            </w:tcBorders>
          </w:tcPr>
          <w:p w14:paraId="2030F43F" w14:textId="77777777" w:rsidR="009B0760" w:rsidRPr="009A413D"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1116D720"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3447AFFB"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3D37035B"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0288855E" w14:textId="77777777" w:rsidR="009B0760" w:rsidRPr="009A413D"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(0.00386)</w:t>
            </w:r>
          </w:p>
        </w:tc>
      </w:tr>
      <w:tr w:rsidR="009B0760" w:rsidRPr="00AB5351" w14:paraId="1215D4AE" w14:textId="77777777" w:rsidTr="009B0760">
        <w:tc>
          <w:tcPr>
            <w:tcW w:w="1597" w:type="pct"/>
            <w:tcBorders>
              <w:top w:val="nil"/>
              <w:left w:val="nil"/>
              <w:bottom w:val="nil"/>
              <w:right w:val="nil"/>
            </w:tcBorders>
          </w:tcPr>
          <w:p w14:paraId="6D7F3BAC"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45211EC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22A5DA4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4FB2F16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1EE353E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3633C89F" w14:textId="77777777" w:rsidTr="009B0760">
        <w:tc>
          <w:tcPr>
            <w:tcW w:w="1597" w:type="pct"/>
            <w:tcBorders>
              <w:top w:val="nil"/>
              <w:left w:val="nil"/>
              <w:bottom w:val="nil"/>
              <w:right w:val="nil"/>
            </w:tcBorders>
          </w:tcPr>
          <w:p w14:paraId="6A8CC6F0"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AB5351">
              <w:rPr>
                <w:rFonts w:ascii="Times New Roman" w:eastAsiaTheme="minorEastAsia" w:hAnsi="Times New Roman" w:cs="Times New Roman"/>
                <w:sz w:val="20"/>
                <w:szCs w:val="20"/>
              </w:rPr>
              <w:t>resourcerent</w:t>
            </w:r>
            <w:proofErr w:type="spellEnd"/>
            <w:r w:rsidRPr="00AB5351">
              <w:rPr>
                <w:rFonts w:ascii="Times New Roman" w:eastAsiaTheme="minorEastAsia" w:hAnsi="Times New Roman" w:cs="Times New Roman"/>
                <w:sz w:val="20"/>
                <w:szCs w:val="20"/>
              </w:rPr>
              <w:t>*</w:t>
            </w:r>
            <w:proofErr w:type="spellStart"/>
            <w:r w:rsidRPr="00AB5351">
              <w:rPr>
                <w:rFonts w:ascii="Times New Roman" w:eastAsiaTheme="minorEastAsia" w:hAnsi="Times New Roman" w:cs="Times New Roman"/>
                <w:sz w:val="20"/>
                <w:szCs w:val="20"/>
              </w:rPr>
              <w:t>ruleoflaw</w:t>
            </w:r>
            <w:proofErr w:type="spellEnd"/>
          </w:p>
        </w:tc>
        <w:tc>
          <w:tcPr>
            <w:tcW w:w="811" w:type="pct"/>
            <w:tcBorders>
              <w:top w:val="nil"/>
              <w:left w:val="nil"/>
              <w:bottom w:val="nil"/>
              <w:right w:val="nil"/>
            </w:tcBorders>
          </w:tcPr>
          <w:p w14:paraId="35B8DA14"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0F92F28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136F06E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256887F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-0.0165**</w:t>
            </w:r>
          </w:p>
        </w:tc>
      </w:tr>
      <w:tr w:rsidR="009B0760" w:rsidRPr="00AB5351" w14:paraId="7DE66D54" w14:textId="77777777" w:rsidTr="009B0760">
        <w:tc>
          <w:tcPr>
            <w:tcW w:w="1597" w:type="pct"/>
            <w:tcBorders>
              <w:top w:val="nil"/>
              <w:left w:val="nil"/>
              <w:bottom w:val="nil"/>
              <w:right w:val="nil"/>
            </w:tcBorders>
          </w:tcPr>
          <w:p w14:paraId="7BA44BB5"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68F957B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40A5DB5F"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35DD9C96"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11CCEE8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(0.00727)</w:t>
            </w:r>
          </w:p>
        </w:tc>
      </w:tr>
      <w:tr w:rsidR="009B0760" w:rsidRPr="00AB5351" w14:paraId="1869830D" w14:textId="77777777" w:rsidTr="009B0760">
        <w:tc>
          <w:tcPr>
            <w:tcW w:w="1597" w:type="pct"/>
            <w:tcBorders>
              <w:top w:val="nil"/>
              <w:left w:val="nil"/>
              <w:bottom w:val="nil"/>
              <w:right w:val="nil"/>
            </w:tcBorders>
          </w:tcPr>
          <w:p w14:paraId="0BFD1EA3"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088D151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276E6D2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525DE5D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7747CBF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591F5A48" w14:textId="77777777" w:rsidTr="009B0760">
        <w:tc>
          <w:tcPr>
            <w:tcW w:w="1597" w:type="pct"/>
            <w:tcBorders>
              <w:top w:val="nil"/>
              <w:left w:val="nil"/>
              <w:bottom w:val="nil"/>
              <w:right w:val="nil"/>
            </w:tcBorders>
          </w:tcPr>
          <w:p w14:paraId="22D550FB"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manufacture*</w:t>
            </w:r>
            <w:proofErr w:type="spellStart"/>
            <w:r w:rsidRPr="00AB5351">
              <w:rPr>
                <w:rFonts w:ascii="Times New Roman" w:eastAsiaTheme="minorEastAsia" w:hAnsi="Times New Roman" w:cs="Times New Roman"/>
                <w:sz w:val="20"/>
                <w:szCs w:val="20"/>
              </w:rPr>
              <w:t>ruleoflaw</w:t>
            </w:r>
            <w:proofErr w:type="spellEnd"/>
          </w:p>
        </w:tc>
        <w:tc>
          <w:tcPr>
            <w:tcW w:w="811" w:type="pct"/>
            <w:tcBorders>
              <w:top w:val="nil"/>
              <w:left w:val="nil"/>
              <w:bottom w:val="nil"/>
              <w:right w:val="nil"/>
            </w:tcBorders>
          </w:tcPr>
          <w:p w14:paraId="6C907D0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7E1A740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57E2FB3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39CBC3B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0.00508</w:t>
            </w:r>
          </w:p>
        </w:tc>
      </w:tr>
      <w:tr w:rsidR="009B0760" w:rsidRPr="00AB5351" w14:paraId="0F64B348" w14:textId="77777777" w:rsidTr="009B0760">
        <w:tc>
          <w:tcPr>
            <w:tcW w:w="1597" w:type="pct"/>
            <w:tcBorders>
              <w:top w:val="nil"/>
              <w:left w:val="nil"/>
              <w:bottom w:val="nil"/>
              <w:right w:val="nil"/>
            </w:tcBorders>
          </w:tcPr>
          <w:p w14:paraId="22D75519"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39E86AD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24585E6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6D2A5F2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0D910475"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(0.00458)</w:t>
            </w:r>
          </w:p>
        </w:tc>
      </w:tr>
      <w:tr w:rsidR="009B0760" w:rsidRPr="00AB5351" w14:paraId="149C2E8E" w14:textId="77777777" w:rsidTr="009B0760">
        <w:tc>
          <w:tcPr>
            <w:tcW w:w="1597" w:type="pct"/>
            <w:tcBorders>
              <w:top w:val="nil"/>
              <w:left w:val="nil"/>
              <w:bottom w:val="nil"/>
              <w:right w:val="nil"/>
            </w:tcBorders>
          </w:tcPr>
          <w:p w14:paraId="253E7C2B"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692E3B2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2D9F8C6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5CDAFBD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57FCB44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63E8BFE9" w14:textId="77777777" w:rsidTr="009B0760">
        <w:tc>
          <w:tcPr>
            <w:tcW w:w="1597" w:type="pct"/>
            <w:tcBorders>
              <w:top w:val="nil"/>
              <w:left w:val="nil"/>
              <w:bottom w:val="nil"/>
              <w:right w:val="nil"/>
            </w:tcBorders>
          </w:tcPr>
          <w:p w14:paraId="46B2CA9D"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agriculture*</w:t>
            </w:r>
            <w:proofErr w:type="spellStart"/>
            <w:r w:rsidRPr="00AB5351">
              <w:rPr>
                <w:rFonts w:ascii="Times New Roman" w:eastAsiaTheme="minorEastAsia" w:hAnsi="Times New Roman" w:cs="Times New Roman"/>
                <w:sz w:val="20"/>
                <w:szCs w:val="20"/>
              </w:rPr>
              <w:t>ruleoflaw</w:t>
            </w:r>
            <w:proofErr w:type="spellEnd"/>
          </w:p>
        </w:tc>
        <w:tc>
          <w:tcPr>
            <w:tcW w:w="811" w:type="pct"/>
            <w:tcBorders>
              <w:top w:val="nil"/>
              <w:left w:val="nil"/>
              <w:bottom w:val="nil"/>
              <w:right w:val="nil"/>
            </w:tcBorders>
          </w:tcPr>
          <w:p w14:paraId="5413B86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13956F2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66D6060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3BB32D9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0.0224**</w:t>
            </w:r>
          </w:p>
        </w:tc>
      </w:tr>
      <w:tr w:rsidR="009B0760" w:rsidRPr="00AB5351" w14:paraId="02F07C0F" w14:textId="77777777" w:rsidTr="009B0760">
        <w:tc>
          <w:tcPr>
            <w:tcW w:w="1597" w:type="pct"/>
            <w:tcBorders>
              <w:top w:val="nil"/>
              <w:left w:val="nil"/>
              <w:bottom w:val="nil"/>
              <w:right w:val="nil"/>
            </w:tcBorders>
          </w:tcPr>
          <w:p w14:paraId="7317477A"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5F1DFA7F"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1C1FB8A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07FA877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312C1363"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(0.00942)</w:t>
            </w:r>
          </w:p>
        </w:tc>
      </w:tr>
      <w:tr w:rsidR="009B0760" w:rsidRPr="00AB5351" w14:paraId="41735979" w14:textId="77777777" w:rsidTr="009B0760">
        <w:tc>
          <w:tcPr>
            <w:tcW w:w="1597" w:type="pct"/>
            <w:tcBorders>
              <w:top w:val="nil"/>
              <w:left w:val="nil"/>
              <w:bottom w:val="nil"/>
              <w:right w:val="nil"/>
            </w:tcBorders>
          </w:tcPr>
          <w:p w14:paraId="5ED3FCAD"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11" w:type="pct"/>
            <w:tcBorders>
              <w:top w:val="nil"/>
              <w:left w:val="nil"/>
              <w:bottom w:val="nil"/>
              <w:right w:val="nil"/>
            </w:tcBorders>
          </w:tcPr>
          <w:p w14:paraId="05915FA8"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11" w:type="pct"/>
            <w:tcBorders>
              <w:top w:val="nil"/>
              <w:left w:val="nil"/>
              <w:bottom w:val="nil"/>
              <w:right w:val="nil"/>
            </w:tcBorders>
          </w:tcPr>
          <w:p w14:paraId="350F5C3D"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0" w:type="pct"/>
            <w:tcBorders>
              <w:top w:val="nil"/>
              <w:left w:val="nil"/>
              <w:bottom w:val="nil"/>
              <w:right w:val="nil"/>
            </w:tcBorders>
          </w:tcPr>
          <w:p w14:paraId="2952707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91" w:type="pct"/>
            <w:tcBorders>
              <w:top w:val="nil"/>
              <w:left w:val="nil"/>
              <w:bottom w:val="nil"/>
              <w:right w:val="nil"/>
            </w:tcBorders>
          </w:tcPr>
          <w:p w14:paraId="5AB0888C"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9B0760" w:rsidRPr="00AB5351" w14:paraId="53E06B34" w14:textId="77777777" w:rsidTr="009B0760">
        <w:tc>
          <w:tcPr>
            <w:tcW w:w="1597" w:type="pct"/>
            <w:tcBorders>
              <w:top w:val="single" w:sz="4" w:space="0" w:color="auto"/>
              <w:left w:val="nil"/>
              <w:bottom w:val="nil"/>
              <w:right w:val="nil"/>
            </w:tcBorders>
          </w:tcPr>
          <w:p w14:paraId="013C3F0B"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Observations</w:t>
            </w:r>
          </w:p>
        </w:tc>
        <w:tc>
          <w:tcPr>
            <w:tcW w:w="811" w:type="pct"/>
            <w:tcBorders>
              <w:top w:val="single" w:sz="4" w:space="0" w:color="auto"/>
              <w:left w:val="nil"/>
              <w:bottom w:val="nil"/>
              <w:right w:val="nil"/>
            </w:tcBorders>
          </w:tcPr>
          <w:p w14:paraId="7F4B326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1012</w:t>
            </w:r>
          </w:p>
        </w:tc>
        <w:tc>
          <w:tcPr>
            <w:tcW w:w="811" w:type="pct"/>
            <w:tcBorders>
              <w:top w:val="single" w:sz="4" w:space="0" w:color="auto"/>
              <w:left w:val="nil"/>
              <w:bottom w:val="nil"/>
              <w:right w:val="nil"/>
            </w:tcBorders>
          </w:tcPr>
          <w:p w14:paraId="02DA90F7"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824</w:t>
            </w:r>
          </w:p>
        </w:tc>
        <w:tc>
          <w:tcPr>
            <w:tcW w:w="890" w:type="pct"/>
            <w:tcBorders>
              <w:top w:val="single" w:sz="4" w:space="0" w:color="auto"/>
              <w:left w:val="nil"/>
              <w:bottom w:val="nil"/>
              <w:right w:val="nil"/>
            </w:tcBorders>
          </w:tcPr>
          <w:p w14:paraId="15F7FB12"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826</w:t>
            </w:r>
          </w:p>
        </w:tc>
        <w:tc>
          <w:tcPr>
            <w:tcW w:w="891" w:type="pct"/>
            <w:tcBorders>
              <w:top w:val="single" w:sz="4" w:space="0" w:color="auto"/>
              <w:left w:val="nil"/>
              <w:bottom w:val="nil"/>
              <w:right w:val="nil"/>
            </w:tcBorders>
          </w:tcPr>
          <w:p w14:paraId="6567A2E0"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826</w:t>
            </w:r>
          </w:p>
        </w:tc>
      </w:tr>
      <w:tr w:rsidR="009B0760" w:rsidRPr="00AB5351" w14:paraId="20A208EE" w14:textId="77777777" w:rsidTr="009B0760">
        <w:tc>
          <w:tcPr>
            <w:tcW w:w="1597" w:type="pct"/>
            <w:tcBorders>
              <w:top w:val="nil"/>
              <w:left w:val="nil"/>
              <w:bottom w:val="single" w:sz="4" w:space="0" w:color="auto"/>
              <w:right w:val="nil"/>
            </w:tcBorders>
          </w:tcPr>
          <w:p w14:paraId="637D7F15" w14:textId="77777777" w:rsidR="009B0760" w:rsidRPr="00AB5351" w:rsidRDefault="009B0760" w:rsidP="009B0760">
            <w:pPr>
              <w:widowControl w:val="0"/>
              <w:autoSpaceDE w:val="0"/>
              <w:autoSpaceDN w:val="0"/>
              <w:adjustRightInd w:val="0"/>
              <w:spacing w:after="0" w:line="240" w:lineRule="auto"/>
              <w:rPr>
                <w:rFonts w:ascii="Times New Roman" w:eastAsiaTheme="minorEastAsia" w:hAnsi="Times New Roman" w:cs="Times New Roman"/>
                <w:sz w:val="20"/>
                <w:szCs w:val="20"/>
              </w:rPr>
            </w:pPr>
            <w:r w:rsidRPr="00AB5351">
              <w:rPr>
                <w:rFonts w:ascii="Times New Roman" w:eastAsiaTheme="minorEastAsia" w:hAnsi="Times New Roman" w:cs="Times New Roman"/>
                <w:i/>
                <w:iCs/>
                <w:sz w:val="20"/>
                <w:szCs w:val="20"/>
              </w:rPr>
              <w:t>R</w:t>
            </w:r>
            <w:r w:rsidRPr="00AB5351">
              <w:rPr>
                <w:rFonts w:ascii="Times New Roman" w:eastAsiaTheme="minorEastAsia" w:hAnsi="Times New Roman" w:cs="Times New Roman"/>
                <w:sz w:val="20"/>
                <w:szCs w:val="20"/>
                <w:vertAlign w:val="superscript"/>
              </w:rPr>
              <w:t>2</w:t>
            </w:r>
          </w:p>
        </w:tc>
        <w:tc>
          <w:tcPr>
            <w:tcW w:w="811" w:type="pct"/>
            <w:tcBorders>
              <w:top w:val="nil"/>
              <w:left w:val="nil"/>
              <w:bottom w:val="single" w:sz="4" w:space="0" w:color="auto"/>
              <w:right w:val="nil"/>
            </w:tcBorders>
          </w:tcPr>
          <w:p w14:paraId="6081369F"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0.188</w:t>
            </w:r>
          </w:p>
        </w:tc>
        <w:tc>
          <w:tcPr>
            <w:tcW w:w="811" w:type="pct"/>
            <w:tcBorders>
              <w:top w:val="nil"/>
              <w:left w:val="nil"/>
              <w:bottom w:val="single" w:sz="4" w:space="0" w:color="auto"/>
              <w:right w:val="nil"/>
            </w:tcBorders>
          </w:tcPr>
          <w:p w14:paraId="5819647A"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0.194</w:t>
            </w:r>
          </w:p>
        </w:tc>
        <w:tc>
          <w:tcPr>
            <w:tcW w:w="890" w:type="pct"/>
            <w:tcBorders>
              <w:top w:val="nil"/>
              <w:left w:val="nil"/>
              <w:bottom w:val="single" w:sz="4" w:space="0" w:color="auto"/>
              <w:right w:val="nil"/>
            </w:tcBorders>
          </w:tcPr>
          <w:p w14:paraId="613079A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0.198</w:t>
            </w:r>
          </w:p>
        </w:tc>
        <w:tc>
          <w:tcPr>
            <w:tcW w:w="891" w:type="pct"/>
            <w:tcBorders>
              <w:top w:val="nil"/>
              <w:left w:val="nil"/>
              <w:bottom w:val="single" w:sz="4" w:space="0" w:color="auto"/>
              <w:right w:val="nil"/>
            </w:tcBorders>
          </w:tcPr>
          <w:p w14:paraId="1BB8EE7E" w14:textId="77777777" w:rsidR="009B0760" w:rsidRPr="00AB5351" w:rsidRDefault="009B0760" w:rsidP="009B0760">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AB5351">
              <w:rPr>
                <w:rFonts w:ascii="Times New Roman" w:eastAsiaTheme="minorEastAsia" w:hAnsi="Times New Roman" w:cs="Times New Roman"/>
                <w:sz w:val="20"/>
                <w:szCs w:val="20"/>
              </w:rPr>
              <w:t>0.201</w:t>
            </w:r>
          </w:p>
        </w:tc>
      </w:tr>
    </w:tbl>
    <w:p w14:paraId="033D4BEF" w14:textId="77777777" w:rsidR="009B0760" w:rsidRPr="00774092" w:rsidRDefault="009B0760" w:rsidP="009B0760">
      <w:pPr>
        <w:widowControl w:val="0"/>
        <w:autoSpaceDE w:val="0"/>
        <w:autoSpaceDN w:val="0"/>
        <w:adjustRightInd w:val="0"/>
        <w:spacing w:after="0" w:line="240" w:lineRule="auto"/>
        <w:rPr>
          <w:rFonts w:ascii="Times New Roman" w:eastAsiaTheme="minorEastAsia" w:hAnsi="Times New Roman" w:cs="Times New Roman"/>
          <w:i/>
          <w:sz w:val="16"/>
          <w:szCs w:val="16"/>
        </w:rPr>
      </w:pPr>
      <w:r w:rsidRPr="00774092">
        <w:rPr>
          <w:rFonts w:ascii="Times New Roman" w:eastAsiaTheme="minorEastAsia" w:hAnsi="Times New Roman" w:cs="Times New Roman"/>
          <w:i/>
          <w:sz w:val="16"/>
          <w:szCs w:val="16"/>
        </w:rPr>
        <w:t>Note:</w:t>
      </w:r>
      <w:r w:rsidRPr="00774092">
        <w:rPr>
          <w:rFonts w:eastAsiaTheme="minorEastAsia"/>
          <w:sz w:val="16"/>
          <w:szCs w:val="16"/>
        </w:rPr>
        <w:t xml:space="preserve"> </w:t>
      </w:r>
      <w:r w:rsidRPr="00774092">
        <w:rPr>
          <w:rFonts w:ascii="Times New Roman" w:eastAsiaTheme="minorEastAsia" w:hAnsi="Times New Roman" w:cs="Times New Roman"/>
          <w:i/>
          <w:sz w:val="16"/>
          <w:szCs w:val="16"/>
        </w:rPr>
        <w:t>Public education spending is the dependent variable. Fixed effects model is used in all estimations. Point estimates are reported.  Standard errors are shown in parentheses. * Significant at 10%; ** significant at 5%. All regressions include a constant term and year fixed effects (not reported).</w:t>
      </w:r>
    </w:p>
    <w:p w14:paraId="2E3FD0E5" w14:textId="77777777" w:rsidR="009B0760" w:rsidRDefault="009B0760" w:rsidP="00510FBA">
      <w:pPr>
        <w:spacing w:after="120" w:line="360" w:lineRule="auto"/>
        <w:ind w:left="-576" w:firstLine="144"/>
        <w:jc w:val="both"/>
        <w:rPr>
          <w:rFonts w:ascii="Times New Roman" w:eastAsiaTheme="minorEastAsia" w:hAnsi="Times New Roman" w:cs="Times New Roman"/>
          <w:sz w:val="24"/>
          <w:szCs w:val="24"/>
        </w:rPr>
      </w:pPr>
    </w:p>
    <w:p w14:paraId="39415E6F" w14:textId="1C110F3A" w:rsidR="00F22F46" w:rsidRPr="00686C7B" w:rsidRDefault="00044841" w:rsidP="00686C7B">
      <w:pPr>
        <w:pStyle w:val="ListParagraph"/>
        <w:numPr>
          <w:ilvl w:val="0"/>
          <w:numId w:val="9"/>
        </w:numPr>
        <w:spacing w:after="120" w:line="240" w:lineRule="auto"/>
        <w:jc w:val="both"/>
        <w:rPr>
          <w:rFonts w:ascii="Times New Roman" w:hAnsi="Times New Roman" w:cs="Times New Roman"/>
          <w:b/>
          <w:sz w:val="20"/>
          <w:szCs w:val="20"/>
        </w:rPr>
      </w:pPr>
      <w:r w:rsidRPr="00686C7B">
        <w:rPr>
          <w:rFonts w:ascii="Times New Roman" w:hAnsi="Times New Roman" w:cs="Times New Roman"/>
          <w:b/>
          <w:sz w:val="20"/>
          <w:szCs w:val="20"/>
        </w:rPr>
        <w:lastRenderedPageBreak/>
        <w:t>R</w:t>
      </w:r>
      <w:r w:rsidR="00387E7E" w:rsidRPr="00686C7B">
        <w:rPr>
          <w:rFonts w:ascii="Times New Roman" w:hAnsi="Times New Roman" w:cs="Times New Roman"/>
          <w:b/>
          <w:sz w:val="20"/>
          <w:szCs w:val="20"/>
        </w:rPr>
        <w:t>obustness</w:t>
      </w:r>
      <w:r w:rsidRPr="00686C7B">
        <w:rPr>
          <w:rFonts w:ascii="Times New Roman" w:hAnsi="Times New Roman" w:cs="Times New Roman"/>
          <w:b/>
          <w:sz w:val="20"/>
          <w:szCs w:val="20"/>
        </w:rPr>
        <w:t xml:space="preserve"> C</w:t>
      </w:r>
      <w:r w:rsidR="00387E7E" w:rsidRPr="00686C7B">
        <w:rPr>
          <w:rFonts w:ascii="Times New Roman" w:hAnsi="Times New Roman" w:cs="Times New Roman"/>
          <w:b/>
          <w:sz w:val="20"/>
          <w:szCs w:val="20"/>
        </w:rPr>
        <w:t>heck</w:t>
      </w:r>
    </w:p>
    <w:p w14:paraId="69513AE3" w14:textId="7B990E11" w:rsidR="005E5ED2" w:rsidRPr="00686C7B" w:rsidRDefault="004C66C9"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 xml:space="preserve">In order to check further the strength of the proxy variables estimated in previous regressions </w:t>
      </w:r>
      <w:r w:rsidR="007B6472" w:rsidRPr="00686C7B">
        <w:rPr>
          <w:rFonts w:ascii="Times New Roman" w:eastAsiaTheme="minorEastAsia" w:hAnsi="Times New Roman" w:cs="Times New Roman"/>
          <w:sz w:val="20"/>
          <w:szCs w:val="20"/>
        </w:rPr>
        <w:t>the baseline fixed effects regression</w:t>
      </w:r>
      <w:r w:rsidR="00DF22AB" w:rsidRPr="00686C7B">
        <w:rPr>
          <w:rFonts w:ascii="Times New Roman" w:eastAsiaTheme="minorEastAsia" w:hAnsi="Times New Roman" w:cs="Times New Roman"/>
          <w:sz w:val="20"/>
          <w:szCs w:val="20"/>
        </w:rPr>
        <w:t xml:space="preserve"> </w:t>
      </w:r>
      <w:r w:rsidR="00407D51" w:rsidRPr="00686C7B">
        <w:rPr>
          <w:rFonts w:ascii="Times New Roman" w:eastAsiaTheme="minorEastAsia" w:hAnsi="Times New Roman" w:cs="Times New Roman"/>
          <w:sz w:val="20"/>
          <w:szCs w:val="20"/>
        </w:rPr>
        <w:t xml:space="preserve">shown in equation (1) </w:t>
      </w:r>
      <w:r w:rsidRPr="00686C7B">
        <w:rPr>
          <w:rFonts w:ascii="Times New Roman" w:eastAsiaTheme="minorEastAsia" w:hAnsi="Times New Roman" w:cs="Times New Roman"/>
          <w:sz w:val="20"/>
          <w:szCs w:val="20"/>
        </w:rPr>
        <w:t>is</w:t>
      </w:r>
      <w:r w:rsidR="00DF22AB" w:rsidRPr="00686C7B">
        <w:rPr>
          <w:rFonts w:ascii="Times New Roman" w:eastAsiaTheme="minorEastAsia" w:hAnsi="Times New Roman" w:cs="Times New Roman"/>
          <w:sz w:val="20"/>
          <w:szCs w:val="20"/>
        </w:rPr>
        <w:t xml:space="preserve"> </w:t>
      </w:r>
      <w:r w:rsidR="007B6472" w:rsidRPr="00686C7B">
        <w:rPr>
          <w:rFonts w:ascii="Times New Roman" w:eastAsiaTheme="minorEastAsia" w:hAnsi="Times New Roman" w:cs="Times New Roman"/>
          <w:sz w:val="20"/>
          <w:szCs w:val="20"/>
        </w:rPr>
        <w:t>performed</w:t>
      </w:r>
      <w:r w:rsidR="00DF22AB" w:rsidRPr="00686C7B">
        <w:rPr>
          <w:rFonts w:ascii="Times New Roman" w:eastAsiaTheme="minorEastAsia" w:hAnsi="Times New Roman" w:cs="Times New Roman"/>
          <w:sz w:val="20"/>
          <w:szCs w:val="20"/>
        </w:rPr>
        <w:t xml:space="preserve"> </w:t>
      </w:r>
      <w:r w:rsidR="007B6472" w:rsidRPr="00686C7B">
        <w:rPr>
          <w:rFonts w:ascii="Times New Roman" w:eastAsiaTheme="minorEastAsia" w:hAnsi="Times New Roman" w:cs="Times New Roman"/>
          <w:sz w:val="20"/>
          <w:szCs w:val="20"/>
        </w:rPr>
        <w:t>with a sub-sample consisting of</w:t>
      </w:r>
      <w:r w:rsidRPr="00686C7B">
        <w:rPr>
          <w:rFonts w:ascii="Times New Roman" w:eastAsiaTheme="minorEastAsia" w:hAnsi="Times New Roman" w:cs="Times New Roman"/>
          <w:sz w:val="20"/>
          <w:szCs w:val="20"/>
        </w:rPr>
        <w:t xml:space="preserve"> 69 </w:t>
      </w:r>
      <w:r w:rsidR="007B6472" w:rsidRPr="00686C7B">
        <w:rPr>
          <w:rFonts w:ascii="Times New Roman" w:eastAsiaTheme="minorEastAsia" w:hAnsi="Times New Roman" w:cs="Times New Roman"/>
          <w:sz w:val="20"/>
          <w:szCs w:val="20"/>
        </w:rPr>
        <w:t>middle</w:t>
      </w:r>
      <w:r w:rsidR="00F22F46" w:rsidRPr="00686C7B">
        <w:rPr>
          <w:rFonts w:ascii="Times New Roman" w:eastAsiaTheme="minorEastAsia" w:hAnsi="Times New Roman" w:cs="Times New Roman"/>
          <w:sz w:val="20"/>
          <w:szCs w:val="20"/>
        </w:rPr>
        <w:t>-</w:t>
      </w:r>
      <w:r w:rsidR="007B6472" w:rsidRPr="00686C7B">
        <w:rPr>
          <w:rFonts w:ascii="Times New Roman" w:eastAsiaTheme="minorEastAsia" w:hAnsi="Times New Roman" w:cs="Times New Roman"/>
          <w:sz w:val="20"/>
          <w:szCs w:val="20"/>
        </w:rPr>
        <w:t>income countries.</w:t>
      </w:r>
      <w:r w:rsidRPr="00686C7B">
        <w:rPr>
          <w:rFonts w:ascii="Times New Roman" w:eastAsiaTheme="minorEastAsia" w:hAnsi="Times New Roman" w:cs="Times New Roman"/>
          <w:sz w:val="20"/>
          <w:szCs w:val="20"/>
        </w:rPr>
        <w:t xml:space="preserve"> </w:t>
      </w:r>
      <w:r w:rsidR="007B6472" w:rsidRPr="00686C7B">
        <w:rPr>
          <w:rFonts w:ascii="Times New Roman" w:eastAsiaTheme="minorEastAsia" w:hAnsi="Times New Roman" w:cs="Times New Roman"/>
          <w:sz w:val="20"/>
          <w:szCs w:val="20"/>
        </w:rPr>
        <w:t>The results are</w:t>
      </w:r>
      <w:r w:rsidRPr="00686C7B">
        <w:rPr>
          <w:rFonts w:ascii="Times New Roman" w:eastAsiaTheme="minorEastAsia" w:hAnsi="Times New Roman" w:cs="Times New Roman"/>
          <w:sz w:val="20"/>
          <w:szCs w:val="20"/>
        </w:rPr>
        <w:t xml:space="preserve"> reported in Table</w:t>
      </w:r>
      <w:r w:rsidR="002C0E09" w:rsidRPr="00686C7B">
        <w:rPr>
          <w:rFonts w:ascii="Times New Roman" w:eastAsiaTheme="minorEastAsia" w:hAnsi="Times New Roman" w:cs="Times New Roman"/>
          <w:sz w:val="20"/>
          <w:szCs w:val="20"/>
        </w:rPr>
        <w:t>s 5, 6 and 7</w:t>
      </w:r>
      <w:r w:rsidR="007B6472" w:rsidRPr="00686C7B">
        <w:rPr>
          <w:rFonts w:ascii="Times New Roman" w:eastAsiaTheme="minorEastAsia" w:hAnsi="Times New Roman" w:cs="Times New Roman"/>
          <w:sz w:val="20"/>
          <w:szCs w:val="20"/>
        </w:rPr>
        <w:t>.</w:t>
      </w:r>
      <w:r w:rsidR="00290249"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 xml:space="preserve">The coefficients of the log value of GDP per capita and old population share are statistically significant at the 5 percent level. The negative coefficient of GDP per capita indicates that as countries get richer; this negatively affects public education spending because private education options may be </w:t>
      </w:r>
      <w:r w:rsidR="00407D51" w:rsidRPr="00686C7B">
        <w:rPr>
          <w:rFonts w:ascii="Times New Roman" w:eastAsiaTheme="minorEastAsia" w:hAnsi="Times New Roman" w:cs="Times New Roman"/>
          <w:sz w:val="20"/>
          <w:szCs w:val="20"/>
        </w:rPr>
        <w:t>favored over public education</w:t>
      </w:r>
      <w:r w:rsidRPr="00686C7B">
        <w:rPr>
          <w:rFonts w:ascii="Times New Roman" w:eastAsiaTheme="minorEastAsia" w:hAnsi="Times New Roman" w:cs="Times New Roman"/>
          <w:sz w:val="20"/>
          <w:szCs w:val="20"/>
        </w:rPr>
        <w:t>. The positive coefficient of old population share suggests that within middle income countries as the population gets older, in order to replace the lost workforce public education spending increase</w:t>
      </w:r>
      <w:r w:rsidR="002C0E09" w:rsidRPr="00686C7B">
        <w:rPr>
          <w:rFonts w:ascii="Times New Roman" w:eastAsiaTheme="minorEastAsia" w:hAnsi="Times New Roman" w:cs="Times New Roman"/>
          <w:sz w:val="20"/>
          <w:szCs w:val="20"/>
        </w:rPr>
        <w:t>s</w:t>
      </w:r>
      <w:r w:rsidRPr="00686C7B">
        <w:rPr>
          <w:rFonts w:ascii="Times New Roman" w:eastAsiaTheme="minorEastAsia" w:hAnsi="Times New Roman" w:cs="Times New Roman"/>
          <w:sz w:val="20"/>
          <w:szCs w:val="20"/>
        </w:rPr>
        <w:t xml:space="preserve">. </w:t>
      </w:r>
    </w:p>
    <w:p w14:paraId="39681B46" w14:textId="415110E8" w:rsidR="00392087" w:rsidRPr="00686C7B" w:rsidRDefault="00890EA2"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 xml:space="preserve">In all estimations, the proxy variables, </w:t>
      </w:r>
      <w:r w:rsidR="002C0E09" w:rsidRPr="00686C7B">
        <w:rPr>
          <w:rFonts w:ascii="Times New Roman" w:eastAsiaTheme="minorEastAsia" w:hAnsi="Times New Roman" w:cs="Times New Roman"/>
          <w:sz w:val="20"/>
          <w:szCs w:val="20"/>
        </w:rPr>
        <w:t xml:space="preserve">natural </w:t>
      </w:r>
      <w:r w:rsidRPr="00686C7B">
        <w:rPr>
          <w:rFonts w:ascii="Times New Roman" w:eastAsiaTheme="minorEastAsia" w:hAnsi="Times New Roman" w:cs="Times New Roman"/>
          <w:sz w:val="20"/>
          <w:szCs w:val="20"/>
        </w:rPr>
        <w:t xml:space="preserve">resource rent, manufacture export, and agriculture value added preserve their previously found effects on public education spending at the statistically significant 5 </w:t>
      </w:r>
      <w:r w:rsidR="002C0E09" w:rsidRPr="00686C7B">
        <w:rPr>
          <w:rFonts w:ascii="Times New Roman" w:eastAsiaTheme="minorEastAsia" w:hAnsi="Times New Roman" w:cs="Times New Roman"/>
          <w:sz w:val="20"/>
          <w:szCs w:val="20"/>
        </w:rPr>
        <w:t xml:space="preserve">and 10 </w:t>
      </w:r>
      <w:r w:rsidRPr="00686C7B">
        <w:rPr>
          <w:rFonts w:ascii="Times New Roman" w:eastAsiaTheme="minorEastAsia" w:hAnsi="Times New Roman" w:cs="Times New Roman"/>
          <w:sz w:val="20"/>
          <w:szCs w:val="20"/>
        </w:rPr>
        <w:t>percent level</w:t>
      </w:r>
      <w:r w:rsidR="002C0E09" w:rsidRPr="00686C7B">
        <w:rPr>
          <w:rFonts w:ascii="Times New Roman" w:eastAsiaTheme="minorEastAsia" w:hAnsi="Times New Roman" w:cs="Times New Roman"/>
          <w:sz w:val="20"/>
          <w:szCs w:val="20"/>
        </w:rPr>
        <w:t>s</w:t>
      </w:r>
      <w:r w:rsidRPr="00686C7B">
        <w:rPr>
          <w:rFonts w:ascii="Times New Roman" w:eastAsiaTheme="minorEastAsia" w:hAnsi="Times New Roman" w:cs="Times New Roman"/>
          <w:sz w:val="20"/>
          <w:szCs w:val="20"/>
        </w:rPr>
        <w:t>.</w:t>
      </w:r>
      <w:r w:rsidR="006A7D0F" w:rsidRPr="00686C7B">
        <w:rPr>
          <w:rFonts w:ascii="Times New Roman" w:eastAsiaTheme="minorEastAsia" w:hAnsi="Times New Roman" w:cs="Times New Roman"/>
          <w:sz w:val="20"/>
          <w:szCs w:val="20"/>
        </w:rPr>
        <w:t xml:space="preserve"> N</w:t>
      </w:r>
      <w:r w:rsidR="005E5ED2" w:rsidRPr="00686C7B">
        <w:rPr>
          <w:rFonts w:ascii="Times New Roman" w:eastAsiaTheme="minorEastAsia" w:hAnsi="Times New Roman" w:cs="Times New Roman"/>
          <w:sz w:val="20"/>
          <w:szCs w:val="20"/>
        </w:rPr>
        <w:t xml:space="preserve">atural resource owners’ </w:t>
      </w:r>
      <w:r w:rsidR="00407D51" w:rsidRPr="00686C7B">
        <w:rPr>
          <w:rFonts w:ascii="Times New Roman" w:eastAsiaTheme="minorEastAsia" w:hAnsi="Times New Roman" w:cs="Times New Roman"/>
          <w:sz w:val="20"/>
          <w:szCs w:val="20"/>
        </w:rPr>
        <w:t xml:space="preserve">lobbying power </w:t>
      </w:r>
      <w:r w:rsidR="005E5ED2" w:rsidRPr="00686C7B">
        <w:rPr>
          <w:rFonts w:ascii="Times New Roman" w:eastAsiaTheme="minorEastAsia" w:hAnsi="Times New Roman" w:cs="Times New Roman"/>
          <w:sz w:val="20"/>
          <w:szCs w:val="20"/>
        </w:rPr>
        <w:t xml:space="preserve">exerts a </w:t>
      </w:r>
      <w:r w:rsidR="00407D51" w:rsidRPr="00686C7B">
        <w:rPr>
          <w:rFonts w:ascii="Times New Roman" w:eastAsiaTheme="minorEastAsia" w:hAnsi="Times New Roman" w:cs="Times New Roman"/>
          <w:sz w:val="20"/>
          <w:szCs w:val="20"/>
        </w:rPr>
        <w:t xml:space="preserve">direct </w:t>
      </w:r>
      <w:r w:rsidR="005E5ED2" w:rsidRPr="00686C7B">
        <w:rPr>
          <w:rFonts w:ascii="Times New Roman" w:eastAsiaTheme="minorEastAsia" w:hAnsi="Times New Roman" w:cs="Times New Roman"/>
          <w:sz w:val="20"/>
          <w:szCs w:val="20"/>
        </w:rPr>
        <w:t>negative effect on public education spending</w:t>
      </w:r>
      <w:r w:rsidR="006A7D0F" w:rsidRPr="00686C7B">
        <w:rPr>
          <w:rFonts w:ascii="Times New Roman" w:eastAsiaTheme="minorEastAsia" w:hAnsi="Times New Roman" w:cs="Times New Roman"/>
          <w:sz w:val="20"/>
          <w:szCs w:val="20"/>
        </w:rPr>
        <w:t>.</w:t>
      </w:r>
      <w:r w:rsidRPr="00686C7B">
        <w:rPr>
          <w:rFonts w:ascii="Times New Roman" w:eastAsiaTheme="minorEastAsia" w:hAnsi="Times New Roman" w:cs="Times New Roman"/>
          <w:sz w:val="20"/>
          <w:szCs w:val="20"/>
        </w:rPr>
        <w:t xml:space="preserve"> </w:t>
      </w:r>
      <w:r w:rsidR="006A7D0F" w:rsidRPr="00686C7B">
        <w:rPr>
          <w:rFonts w:ascii="Times New Roman" w:eastAsiaTheme="minorEastAsia" w:hAnsi="Times New Roman" w:cs="Times New Roman"/>
          <w:sz w:val="20"/>
          <w:szCs w:val="20"/>
        </w:rPr>
        <w:t xml:space="preserve">However, </w:t>
      </w:r>
      <w:r w:rsidR="00797F4B" w:rsidRPr="00686C7B">
        <w:rPr>
          <w:rFonts w:ascii="Times New Roman" w:eastAsiaTheme="minorEastAsia" w:hAnsi="Times New Roman" w:cs="Times New Roman"/>
          <w:sz w:val="20"/>
          <w:szCs w:val="20"/>
        </w:rPr>
        <w:t xml:space="preserve">the coefficients of interaction terms </w:t>
      </w:r>
      <w:r w:rsidRPr="00686C7B">
        <w:rPr>
          <w:rFonts w:ascii="Times New Roman" w:eastAsiaTheme="minorEastAsia" w:hAnsi="Times New Roman" w:cs="Times New Roman"/>
          <w:sz w:val="20"/>
          <w:szCs w:val="20"/>
        </w:rPr>
        <w:t xml:space="preserve">of resource rent and governance indicators </w:t>
      </w:r>
      <w:r w:rsidR="00797F4B" w:rsidRPr="00686C7B">
        <w:rPr>
          <w:rFonts w:ascii="Times New Roman" w:eastAsiaTheme="minorEastAsia" w:hAnsi="Times New Roman" w:cs="Times New Roman"/>
          <w:sz w:val="20"/>
          <w:szCs w:val="20"/>
        </w:rPr>
        <w:t>are no longer statistically significant</w:t>
      </w:r>
      <w:r w:rsidR="002C0E09" w:rsidRPr="00686C7B">
        <w:rPr>
          <w:rFonts w:ascii="Times New Roman" w:eastAsiaTheme="minorEastAsia" w:hAnsi="Times New Roman" w:cs="Times New Roman"/>
          <w:sz w:val="20"/>
          <w:szCs w:val="20"/>
        </w:rPr>
        <w:t xml:space="preserve"> (except for the interaction with rule of law)</w:t>
      </w:r>
      <w:r w:rsidR="00797F4B" w:rsidRPr="00686C7B">
        <w:rPr>
          <w:rFonts w:ascii="Times New Roman" w:eastAsiaTheme="minorEastAsia" w:hAnsi="Times New Roman" w:cs="Times New Roman"/>
          <w:sz w:val="20"/>
          <w:szCs w:val="20"/>
        </w:rPr>
        <w:t xml:space="preserve">. </w:t>
      </w:r>
    </w:p>
    <w:p w14:paraId="6C4D0E0C" w14:textId="5DC91E6B" w:rsidR="002736E5" w:rsidRPr="00686C7B" w:rsidRDefault="002C0E09"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Corruption control, p</w:t>
      </w:r>
      <w:r w:rsidR="006A7D0F" w:rsidRPr="00686C7B">
        <w:rPr>
          <w:rFonts w:ascii="Times New Roman" w:eastAsiaTheme="minorEastAsia" w:hAnsi="Times New Roman" w:cs="Times New Roman"/>
          <w:sz w:val="20"/>
          <w:szCs w:val="20"/>
        </w:rPr>
        <w:t>olitical stability</w:t>
      </w:r>
      <w:r w:rsidR="00DF22AB" w:rsidRPr="00686C7B">
        <w:rPr>
          <w:rFonts w:ascii="Times New Roman" w:eastAsiaTheme="minorEastAsia" w:hAnsi="Times New Roman" w:cs="Times New Roman"/>
          <w:sz w:val="20"/>
          <w:szCs w:val="20"/>
        </w:rPr>
        <w:t>-</w:t>
      </w:r>
      <w:r w:rsidR="006A7D0F" w:rsidRPr="00686C7B">
        <w:rPr>
          <w:rFonts w:ascii="Times New Roman" w:eastAsiaTheme="minorEastAsia" w:hAnsi="Times New Roman" w:cs="Times New Roman"/>
          <w:sz w:val="20"/>
          <w:szCs w:val="20"/>
        </w:rPr>
        <w:t xml:space="preserve">absence of violence, and rule of law appear to be important channels to determine the total effect of </w:t>
      </w:r>
      <w:r w:rsidR="00407D51" w:rsidRPr="00686C7B">
        <w:rPr>
          <w:rFonts w:ascii="Times New Roman" w:eastAsiaTheme="minorEastAsia" w:hAnsi="Times New Roman" w:cs="Times New Roman"/>
          <w:sz w:val="20"/>
          <w:szCs w:val="20"/>
        </w:rPr>
        <w:t xml:space="preserve">manufacturers’ lobbying power, proxied by manufacture exports, </w:t>
      </w:r>
      <w:r w:rsidR="006A7D0F" w:rsidRPr="00686C7B">
        <w:rPr>
          <w:rFonts w:ascii="Times New Roman" w:eastAsiaTheme="minorEastAsia" w:hAnsi="Times New Roman" w:cs="Times New Roman"/>
          <w:sz w:val="20"/>
          <w:szCs w:val="20"/>
        </w:rPr>
        <w:t xml:space="preserve">on public education spending. As the levels of </w:t>
      </w:r>
      <w:r w:rsidRPr="00686C7B">
        <w:rPr>
          <w:rFonts w:ascii="Times New Roman" w:eastAsiaTheme="minorEastAsia" w:hAnsi="Times New Roman" w:cs="Times New Roman"/>
          <w:sz w:val="20"/>
          <w:szCs w:val="20"/>
        </w:rPr>
        <w:t xml:space="preserve">corruption control, </w:t>
      </w:r>
      <w:r w:rsidR="006A7D0F" w:rsidRPr="00686C7B">
        <w:rPr>
          <w:rFonts w:ascii="Times New Roman" w:eastAsiaTheme="minorEastAsia" w:hAnsi="Times New Roman" w:cs="Times New Roman"/>
          <w:sz w:val="20"/>
          <w:szCs w:val="20"/>
        </w:rPr>
        <w:t>political stability</w:t>
      </w:r>
      <w:r w:rsidR="00DF22AB" w:rsidRPr="00686C7B">
        <w:rPr>
          <w:rFonts w:ascii="Times New Roman" w:eastAsiaTheme="minorEastAsia" w:hAnsi="Times New Roman" w:cs="Times New Roman"/>
          <w:sz w:val="20"/>
          <w:szCs w:val="20"/>
        </w:rPr>
        <w:t>-</w:t>
      </w:r>
      <w:r w:rsidR="006A7D0F" w:rsidRPr="00686C7B">
        <w:rPr>
          <w:rFonts w:ascii="Times New Roman" w:eastAsiaTheme="minorEastAsia" w:hAnsi="Times New Roman" w:cs="Times New Roman"/>
          <w:sz w:val="20"/>
          <w:szCs w:val="20"/>
        </w:rPr>
        <w:t>absence of violence, and rule of law improve the positive effect of manufacturers’</w:t>
      </w:r>
      <w:r w:rsidR="0065670E" w:rsidRPr="00686C7B">
        <w:rPr>
          <w:rFonts w:ascii="Times New Roman" w:eastAsiaTheme="minorEastAsia" w:hAnsi="Times New Roman" w:cs="Times New Roman"/>
          <w:sz w:val="20"/>
          <w:szCs w:val="20"/>
        </w:rPr>
        <w:t xml:space="preserve"> </w:t>
      </w:r>
      <w:r w:rsidR="00407D51" w:rsidRPr="00686C7B">
        <w:rPr>
          <w:rFonts w:ascii="Times New Roman" w:eastAsiaTheme="minorEastAsia" w:hAnsi="Times New Roman" w:cs="Times New Roman"/>
          <w:sz w:val="20"/>
          <w:szCs w:val="20"/>
        </w:rPr>
        <w:t xml:space="preserve">lobbying power </w:t>
      </w:r>
      <w:r w:rsidR="006A7D0F" w:rsidRPr="00686C7B">
        <w:rPr>
          <w:rFonts w:ascii="Times New Roman" w:eastAsiaTheme="minorEastAsia" w:hAnsi="Times New Roman" w:cs="Times New Roman"/>
          <w:sz w:val="20"/>
          <w:szCs w:val="20"/>
        </w:rPr>
        <w:t xml:space="preserve">on public education spending becomes stronger. </w:t>
      </w:r>
      <w:r w:rsidR="00062BB0" w:rsidRPr="00686C7B">
        <w:rPr>
          <w:rFonts w:ascii="Times New Roman" w:eastAsiaTheme="minorEastAsia" w:hAnsi="Times New Roman" w:cs="Times New Roman"/>
          <w:sz w:val="20"/>
          <w:szCs w:val="20"/>
        </w:rPr>
        <w:t>Compared to the estimation results obtained using the comprehensive sample, now with the sample of middle income countries the magnitude of the positive effect of a marginal increase in manufacture export on public education spending is greater.</w:t>
      </w:r>
      <w:r w:rsidRPr="00686C7B">
        <w:rPr>
          <w:rFonts w:ascii="Times New Roman" w:eastAsiaTheme="minorEastAsia" w:hAnsi="Times New Roman" w:cs="Times New Roman"/>
          <w:sz w:val="20"/>
          <w:szCs w:val="20"/>
        </w:rPr>
        <w:t xml:space="preserve"> </w:t>
      </w:r>
      <w:r w:rsidR="006A7D0F" w:rsidRPr="00686C7B">
        <w:rPr>
          <w:rFonts w:ascii="Times New Roman" w:eastAsiaTheme="minorEastAsia" w:hAnsi="Times New Roman" w:cs="Times New Roman"/>
          <w:sz w:val="20"/>
          <w:szCs w:val="20"/>
        </w:rPr>
        <w:t>Consistent with the previously found results, t</w:t>
      </w:r>
      <w:r w:rsidR="00797F4B" w:rsidRPr="00686C7B">
        <w:rPr>
          <w:rFonts w:ascii="Times New Roman" w:eastAsiaTheme="minorEastAsia" w:hAnsi="Times New Roman" w:cs="Times New Roman"/>
          <w:sz w:val="20"/>
          <w:szCs w:val="20"/>
        </w:rPr>
        <w:t>he improvements in</w:t>
      </w:r>
      <w:r w:rsidR="006A7D0F"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institutional quality</w:t>
      </w:r>
      <w:r w:rsidR="006A7D0F" w:rsidRPr="00686C7B">
        <w:rPr>
          <w:rFonts w:ascii="Times New Roman" w:eastAsiaTheme="minorEastAsia" w:hAnsi="Times New Roman" w:cs="Times New Roman"/>
          <w:sz w:val="20"/>
          <w:szCs w:val="20"/>
        </w:rPr>
        <w:t xml:space="preserve"> </w:t>
      </w:r>
      <w:r w:rsidR="00797F4B" w:rsidRPr="00686C7B">
        <w:rPr>
          <w:rFonts w:ascii="Times New Roman" w:eastAsiaTheme="minorEastAsia" w:hAnsi="Times New Roman" w:cs="Times New Roman"/>
          <w:sz w:val="20"/>
          <w:szCs w:val="20"/>
        </w:rPr>
        <w:t>diminish th</w:t>
      </w:r>
      <w:r w:rsidR="006A7D0F" w:rsidRPr="00686C7B">
        <w:rPr>
          <w:rFonts w:ascii="Times New Roman" w:eastAsiaTheme="minorEastAsia" w:hAnsi="Times New Roman" w:cs="Times New Roman"/>
          <w:sz w:val="20"/>
          <w:szCs w:val="20"/>
        </w:rPr>
        <w:t>e</w:t>
      </w:r>
      <w:r w:rsidR="00797F4B" w:rsidRPr="00686C7B">
        <w:rPr>
          <w:rFonts w:ascii="Times New Roman" w:eastAsiaTheme="minorEastAsia" w:hAnsi="Times New Roman" w:cs="Times New Roman"/>
          <w:sz w:val="20"/>
          <w:szCs w:val="20"/>
        </w:rPr>
        <w:t xml:space="preserve"> negative effect</w:t>
      </w:r>
      <w:r w:rsidR="006A7D0F" w:rsidRPr="00686C7B">
        <w:rPr>
          <w:rFonts w:ascii="Times New Roman" w:eastAsiaTheme="minorEastAsia" w:hAnsi="Times New Roman" w:cs="Times New Roman"/>
          <w:sz w:val="20"/>
          <w:szCs w:val="20"/>
        </w:rPr>
        <w:t xml:space="preserve"> of landowners’ </w:t>
      </w:r>
      <w:r w:rsidR="0065670E" w:rsidRPr="00686C7B">
        <w:rPr>
          <w:rFonts w:ascii="Times New Roman" w:eastAsiaTheme="minorEastAsia" w:hAnsi="Times New Roman" w:cs="Times New Roman"/>
          <w:sz w:val="20"/>
          <w:szCs w:val="20"/>
        </w:rPr>
        <w:t xml:space="preserve">lobbying power </w:t>
      </w:r>
      <w:r w:rsidR="006A7D0F" w:rsidRPr="00686C7B">
        <w:rPr>
          <w:rFonts w:ascii="Times New Roman" w:eastAsiaTheme="minorEastAsia" w:hAnsi="Times New Roman" w:cs="Times New Roman"/>
          <w:sz w:val="20"/>
          <w:szCs w:val="20"/>
        </w:rPr>
        <w:t>on public education spending</w:t>
      </w:r>
      <w:r w:rsidR="00797F4B" w:rsidRPr="00686C7B">
        <w:rPr>
          <w:rFonts w:ascii="Times New Roman" w:eastAsiaTheme="minorEastAsia" w:hAnsi="Times New Roman" w:cs="Times New Roman"/>
          <w:sz w:val="20"/>
          <w:szCs w:val="20"/>
        </w:rPr>
        <w:t xml:space="preserve">.    </w:t>
      </w:r>
      <w:r w:rsidR="005E5ED2" w:rsidRPr="00686C7B">
        <w:rPr>
          <w:rFonts w:ascii="Times New Roman" w:eastAsiaTheme="minorEastAsia" w:hAnsi="Times New Roman" w:cs="Times New Roman"/>
          <w:sz w:val="20"/>
          <w:szCs w:val="20"/>
        </w:rPr>
        <w:t xml:space="preserve">  </w:t>
      </w:r>
    </w:p>
    <w:p w14:paraId="654BA124" w14:textId="4083B1B9" w:rsidR="004A781E" w:rsidRDefault="0065670E" w:rsidP="00686C7B">
      <w:pPr>
        <w:spacing w:after="120" w:line="240" w:lineRule="auto"/>
        <w:ind w:left="-578"/>
        <w:jc w:val="both"/>
        <w:rPr>
          <w:rFonts w:ascii="Times New Roman" w:eastAsiaTheme="minorEastAsia" w:hAnsi="Times New Roman" w:cs="Times New Roman"/>
          <w:sz w:val="24"/>
          <w:szCs w:val="24"/>
        </w:rPr>
      </w:pPr>
      <w:r w:rsidRPr="00686C7B">
        <w:rPr>
          <w:rFonts w:ascii="Times New Roman" w:eastAsiaTheme="minorEastAsia" w:hAnsi="Times New Roman" w:cs="Times New Roman"/>
          <w:sz w:val="20"/>
          <w:szCs w:val="20"/>
        </w:rPr>
        <w:t>M</w:t>
      </w:r>
      <w:r w:rsidR="004A781E" w:rsidRPr="00686C7B">
        <w:rPr>
          <w:rFonts w:ascii="Times New Roman" w:eastAsiaTheme="minorEastAsia" w:hAnsi="Times New Roman" w:cs="Times New Roman"/>
          <w:sz w:val="20"/>
          <w:szCs w:val="20"/>
        </w:rPr>
        <w:t>ore</w:t>
      </w:r>
      <w:r w:rsidRPr="00686C7B">
        <w:rPr>
          <w:rFonts w:ascii="Times New Roman" w:eastAsiaTheme="minorEastAsia" w:hAnsi="Times New Roman" w:cs="Times New Roman"/>
          <w:sz w:val="20"/>
          <w:szCs w:val="20"/>
        </w:rPr>
        <w:t>over</w:t>
      </w:r>
      <w:r w:rsidR="004A781E" w:rsidRPr="00686C7B">
        <w:rPr>
          <w:rFonts w:ascii="Times New Roman" w:eastAsiaTheme="minorEastAsia" w:hAnsi="Times New Roman" w:cs="Times New Roman"/>
          <w:sz w:val="20"/>
          <w:szCs w:val="20"/>
        </w:rPr>
        <w:t xml:space="preserve"> two governance indicators and their interactions with resource rent, manufacture export, and agriculture value added are simultaneously included into the unbalanced panel data regressions (the comprehensive sample is used for the estimations) in order to investigate the validity of initial results</w:t>
      </w:r>
      <w:r w:rsidRPr="00686C7B">
        <w:rPr>
          <w:rFonts w:ascii="Times New Roman" w:eastAsiaTheme="minorEastAsia" w:hAnsi="Times New Roman" w:cs="Times New Roman"/>
          <w:sz w:val="20"/>
          <w:szCs w:val="20"/>
        </w:rPr>
        <w:t xml:space="preserve"> at a further level</w:t>
      </w:r>
      <w:r w:rsidR="004A781E" w:rsidRPr="00686C7B">
        <w:rPr>
          <w:rFonts w:ascii="Times New Roman" w:eastAsiaTheme="minorEastAsia" w:hAnsi="Times New Roman" w:cs="Times New Roman"/>
          <w:sz w:val="20"/>
          <w:szCs w:val="20"/>
        </w:rPr>
        <w:t>. The estimation results are not reported in the paper due to space limitations. Resource rent and agriculture value added retain their direct negative and statistically significant effect on public education spending. There is a slight loss of significance in the manufacture export’s positive impact on public education spending. Regarding the effects of governance indicators working through the interaction terms, an increase in the degree of rule of law intensifies the negative effect of natural resource owners’</w:t>
      </w:r>
      <w:r w:rsidRPr="00686C7B">
        <w:rPr>
          <w:rFonts w:ascii="Times New Roman" w:eastAsiaTheme="minorEastAsia" w:hAnsi="Times New Roman" w:cs="Times New Roman"/>
          <w:sz w:val="20"/>
          <w:szCs w:val="20"/>
        </w:rPr>
        <w:t xml:space="preserve"> lobbying power </w:t>
      </w:r>
      <w:r w:rsidR="004A781E" w:rsidRPr="00686C7B">
        <w:rPr>
          <w:rFonts w:ascii="Times New Roman" w:eastAsiaTheme="minorEastAsia" w:hAnsi="Times New Roman" w:cs="Times New Roman"/>
          <w:sz w:val="20"/>
          <w:szCs w:val="20"/>
        </w:rPr>
        <w:t>on public education spending.</w:t>
      </w:r>
      <w:r w:rsidR="00CD1101" w:rsidRPr="00686C7B">
        <w:rPr>
          <w:rFonts w:ascii="Times New Roman" w:eastAsiaTheme="minorEastAsia" w:hAnsi="Times New Roman" w:cs="Times New Roman"/>
          <w:sz w:val="20"/>
          <w:szCs w:val="20"/>
        </w:rPr>
        <w:t xml:space="preserve"> Improvements in political stability</w:t>
      </w:r>
      <w:r w:rsidR="00DF22AB" w:rsidRPr="00686C7B">
        <w:rPr>
          <w:rFonts w:ascii="Times New Roman" w:eastAsiaTheme="minorEastAsia" w:hAnsi="Times New Roman" w:cs="Times New Roman"/>
          <w:sz w:val="20"/>
          <w:szCs w:val="20"/>
        </w:rPr>
        <w:t>-</w:t>
      </w:r>
      <w:r w:rsidR="00CD1101" w:rsidRPr="00686C7B">
        <w:rPr>
          <w:rFonts w:ascii="Times New Roman" w:eastAsiaTheme="minorEastAsia" w:hAnsi="Times New Roman" w:cs="Times New Roman"/>
          <w:sz w:val="20"/>
          <w:szCs w:val="20"/>
        </w:rPr>
        <w:t xml:space="preserve">absence of violence, as in </w:t>
      </w:r>
      <w:r w:rsidR="00DF22AB" w:rsidRPr="00686C7B">
        <w:rPr>
          <w:rFonts w:ascii="Times New Roman" w:eastAsiaTheme="minorEastAsia" w:hAnsi="Times New Roman" w:cs="Times New Roman"/>
          <w:sz w:val="20"/>
          <w:szCs w:val="20"/>
        </w:rPr>
        <w:t xml:space="preserve">the </w:t>
      </w:r>
      <w:r w:rsidR="00CD1101" w:rsidRPr="00686C7B">
        <w:rPr>
          <w:rFonts w:ascii="Times New Roman" w:eastAsiaTheme="minorEastAsia" w:hAnsi="Times New Roman" w:cs="Times New Roman"/>
          <w:sz w:val="20"/>
          <w:szCs w:val="20"/>
        </w:rPr>
        <w:t xml:space="preserve">estimation results with </w:t>
      </w:r>
      <w:r w:rsidR="00A03E57" w:rsidRPr="00686C7B">
        <w:rPr>
          <w:rFonts w:ascii="Times New Roman" w:eastAsiaTheme="minorEastAsia" w:hAnsi="Times New Roman" w:cs="Times New Roman"/>
          <w:sz w:val="20"/>
          <w:szCs w:val="20"/>
        </w:rPr>
        <w:t>the comprehensive</w:t>
      </w:r>
      <w:r w:rsidR="00CD1101" w:rsidRPr="00686C7B">
        <w:rPr>
          <w:rFonts w:ascii="Times New Roman" w:eastAsiaTheme="minorEastAsia" w:hAnsi="Times New Roman" w:cs="Times New Roman"/>
          <w:sz w:val="20"/>
          <w:szCs w:val="20"/>
        </w:rPr>
        <w:t xml:space="preserve"> sample, reinforce the positive impact of manufacturers’ </w:t>
      </w:r>
      <w:r w:rsidR="00A03E57" w:rsidRPr="00686C7B">
        <w:rPr>
          <w:rFonts w:ascii="Times New Roman" w:eastAsiaTheme="minorEastAsia" w:hAnsi="Times New Roman" w:cs="Times New Roman"/>
          <w:sz w:val="20"/>
          <w:szCs w:val="20"/>
        </w:rPr>
        <w:t>lobbying</w:t>
      </w:r>
      <w:r w:rsidR="00CD1101" w:rsidRPr="00686C7B">
        <w:rPr>
          <w:rFonts w:ascii="Times New Roman" w:eastAsiaTheme="minorEastAsia" w:hAnsi="Times New Roman" w:cs="Times New Roman"/>
          <w:sz w:val="20"/>
          <w:szCs w:val="20"/>
        </w:rPr>
        <w:t xml:space="preserve"> power.</w:t>
      </w:r>
      <w:r w:rsidR="00A03E57" w:rsidRPr="00686C7B">
        <w:rPr>
          <w:rFonts w:ascii="Times New Roman" w:eastAsiaTheme="minorEastAsia" w:hAnsi="Times New Roman" w:cs="Times New Roman"/>
          <w:sz w:val="20"/>
          <w:szCs w:val="20"/>
        </w:rPr>
        <w:t xml:space="preserve"> </w:t>
      </w:r>
      <w:r w:rsidR="00CD1101" w:rsidRPr="00686C7B">
        <w:rPr>
          <w:rFonts w:ascii="Times New Roman" w:eastAsiaTheme="minorEastAsia" w:hAnsi="Times New Roman" w:cs="Times New Roman"/>
          <w:sz w:val="20"/>
          <w:szCs w:val="20"/>
        </w:rPr>
        <w:t xml:space="preserve">An increase in the level of regulatory quality diminishes the negative effect of landowners’ </w:t>
      </w:r>
      <w:r w:rsidRPr="00686C7B">
        <w:rPr>
          <w:rFonts w:ascii="Times New Roman" w:eastAsiaTheme="minorEastAsia" w:hAnsi="Times New Roman" w:cs="Times New Roman"/>
          <w:sz w:val="20"/>
          <w:szCs w:val="20"/>
        </w:rPr>
        <w:t>lobbying power</w:t>
      </w:r>
      <w:r w:rsidR="00CD1101" w:rsidRPr="00686C7B">
        <w:rPr>
          <w:rFonts w:ascii="Times New Roman" w:eastAsiaTheme="minorEastAsia" w:hAnsi="Times New Roman" w:cs="Times New Roman"/>
          <w:sz w:val="20"/>
          <w:szCs w:val="20"/>
        </w:rPr>
        <w:t xml:space="preserve">.  </w:t>
      </w:r>
      <w:r w:rsidR="00CD1101">
        <w:rPr>
          <w:rFonts w:ascii="Times New Roman" w:eastAsiaTheme="minorEastAsia" w:hAnsi="Times New Roman" w:cs="Times New Roman"/>
          <w:sz w:val="24"/>
          <w:szCs w:val="24"/>
        </w:rPr>
        <w:t xml:space="preserve">  </w:t>
      </w:r>
      <w:r w:rsidR="004A781E">
        <w:rPr>
          <w:rFonts w:ascii="Times New Roman" w:eastAsiaTheme="minorEastAsia" w:hAnsi="Times New Roman" w:cs="Times New Roman"/>
          <w:sz w:val="24"/>
          <w:szCs w:val="24"/>
        </w:rPr>
        <w:t xml:space="preserve">    </w:t>
      </w:r>
    </w:p>
    <w:p w14:paraId="4942CAC5" w14:textId="77777777" w:rsidR="00AE62A4" w:rsidRDefault="00AE62A4" w:rsidP="00686C7B">
      <w:pPr>
        <w:spacing w:after="120" w:line="240" w:lineRule="auto"/>
        <w:ind w:left="-576" w:firstLine="144"/>
        <w:jc w:val="both"/>
        <w:rPr>
          <w:rFonts w:ascii="Times New Roman" w:eastAsiaTheme="minorEastAsia" w:hAnsi="Times New Roman" w:cs="Times New Roman"/>
          <w:sz w:val="24"/>
          <w:szCs w:val="24"/>
        </w:rPr>
      </w:pPr>
    </w:p>
    <w:p w14:paraId="2269BB1D" w14:textId="77777777" w:rsidR="00AE62A4" w:rsidRDefault="00AE62A4" w:rsidP="00510FBA">
      <w:pPr>
        <w:spacing w:after="120" w:line="360" w:lineRule="auto"/>
        <w:ind w:left="-576" w:firstLine="144"/>
        <w:jc w:val="both"/>
        <w:rPr>
          <w:rFonts w:ascii="Times New Roman" w:eastAsiaTheme="minorEastAsia" w:hAnsi="Times New Roman" w:cs="Times New Roman"/>
          <w:sz w:val="24"/>
          <w:szCs w:val="24"/>
        </w:rPr>
      </w:pPr>
    </w:p>
    <w:p w14:paraId="149CBC4F" w14:textId="77777777" w:rsidR="00AE62A4" w:rsidRDefault="00AE62A4" w:rsidP="00AE62A4">
      <w:pPr>
        <w:keepNext/>
        <w:widowControl w:val="0"/>
        <w:autoSpaceDE w:val="0"/>
        <w:autoSpaceDN w:val="0"/>
        <w:adjustRightInd w:val="0"/>
        <w:spacing w:after="0" w:line="240" w:lineRule="auto"/>
        <w:rPr>
          <w:rFonts w:ascii="Times New Roman" w:eastAsiaTheme="minorEastAsia" w:hAnsi="Times New Roman" w:cs="Times New Roman"/>
          <w:sz w:val="20"/>
          <w:szCs w:val="20"/>
        </w:rPr>
        <w:sectPr w:rsidR="00AE62A4" w:rsidSect="009B0760">
          <w:pgSz w:w="12240" w:h="15840"/>
          <w:pgMar w:top="1440" w:right="1440" w:bottom="1800" w:left="2160" w:header="720" w:footer="720" w:gutter="0"/>
          <w:cols w:space="720"/>
          <w:noEndnote/>
        </w:sectPr>
      </w:pPr>
    </w:p>
    <w:p w14:paraId="0B3B99DF" w14:textId="741CEC28" w:rsidR="00AE62A4" w:rsidRPr="00FA014E" w:rsidRDefault="00AE62A4" w:rsidP="00AE62A4">
      <w:pPr>
        <w:keepNext/>
        <w:widowControl w:val="0"/>
        <w:autoSpaceDE w:val="0"/>
        <w:autoSpaceDN w:val="0"/>
        <w:adjustRightInd w:val="0"/>
        <w:spacing w:after="0" w:line="240" w:lineRule="auto"/>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lastRenderedPageBreak/>
        <w:t>Table 5 Regression Results Middle Income Countries – No Governance Indicators</w:t>
      </w:r>
    </w:p>
    <w:tbl>
      <w:tblPr>
        <w:tblW w:w="5000" w:type="pct"/>
        <w:tblLook w:val="0000" w:firstRow="0" w:lastRow="0" w:firstColumn="0" w:lastColumn="0" w:noHBand="0" w:noVBand="0"/>
      </w:tblPr>
      <w:tblGrid>
        <w:gridCol w:w="2795"/>
        <w:gridCol w:w="1582"/>
        <w:gridCol w:w="1741"/>
        <w:gridCol w:w="1636"/>
        <w:gridCol w:w="1741"/>
        <w:gridCol w:w="1581"/>
        <w:gridCol w:w="1740"/>
      </w:tblGrid>
      <w:tr w:rsidR="00AE62A4" w:rsidRPr="00FA014E" w14:paraId="563F27D1" w14:textId="77777777" w:rsidTr="00C93C71">
        <w:tc>
          <w:tcPr>
            <w:tcW w:w="1090" w:type="pct"/>
            <w:tcBorders>
              <w:top w:val="single" w:sz="4" w:space="0" w:color="auto"/>
              <w:left w:val="nil"/>
              <w:bottom w:val="nil"/>
              <w:right w:val="nil"/>
            </w:tcBorders>
          </w:tcPr>
          <w:p w14:paraId="088ABC1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single" w:sz="4" w:space="0" w:color="auto"/>
              <w:left w:val="nil"/>
              <w:bottom w:val="nil"/>
              <w:right w:val="nil"/>
            </w:tcBorders>
          </w:tcPr>
          <w:p w14:paraId="4D5F253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(1)</w:t>
            </w:r>
          </w:p>
        </w:tc>
        <w:tc>
          <w:tcPr>
            <w:tcW w:w="679" w:type="pct"/>
            <w:tcBorders>
              <w:top w:val="single" w:sz="4" w:space="0" w:color="auto"/>
              <w:left w:val="nil"/>
              <w:bottom w:val="nil"/>
              <w:right w:val="nil"/>
            </w:tcBorders>
          </w:tcPr>
          <w:p w14:paraId="5623547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(2)</w:t>
            </w:r>
          </w:p>
        </w:tc>
        <w:tc>
          <w:tcPr>
            <w:tcW w:w="638" w:type="pct"/>
            <w:tcBorders>
              <w:top w:val="single" w:sz="4" w:space="0" w:color="auto"/>
              <w:left w:val="nil"/>
              <w:bottom w:val="nil"/>
              <w:right w:val="nil"/>
            </w:tcBorders>
          </w:tcPr>
          <w:p w14:paraId="246B6C5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(3)</w:t>
            </w:r>
          </w:p>
        </w:tc>
        <w:tc>
          <w:tcPr>
            <w:tcW w:w="679" w:type="pct"/>
            <w:tcBorders>
              <w:top w:val="single" w:sz="4" w:space="0" w:color="auto"/>
              <w:left w:val="nil"/>
              <w:bottom w:val="nil"/>
              <w:right w:val="nil"/>
            </w:tcBorders>
          </w:tcPr>
          <w:p w14:paraId="4828E22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(4)</w:t>
            </w:r>
          </w:p>
        </w:tc>
        <w:tc>
          <w:tcPr>
            <w:tcW w:w="617" w:type="pct"/>
            <w:tcBorders>
              <w:top w:val="single" w:sz="4" w:space="0" w:color="auto"/>
              <w:left w:val="nil"/>
              <w:bottom w:val="nil"/>
              <w:right w:val="nil"/>
            </w:tcBorders>
          </w:tcPr>
          <w:p w14:paraId="6379F9F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(5)</w:t>
            </w:r>
          </w:p>
        </w:tc>
        <w:tc>
          <w:tcPr>
            <w:tcW w:w="679" w:type="pct"/>
            <w:tcBorders>
              <w:top w:val="single" w:sz="4" w:space="0" w:color="auto"/>
              <w:left w:val="nil"/>
              <w:bottom w:val="nil"/>
              <w:right w:val="nil"/>
            </w:tcBorders>
          </w:tcPr>
          <w:p w14:paraId="5977713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(6)</w:t>
            </w:r>
          </w:p>
        </w:tc>
      </w:tr>
      <w:tr w:rsidR="00AE62A4" w:rsidRPr="00FA014E" w14:paraId="7C580468" w14:textId="77777777" w:rsidTr="00C93C71">
        <w:tc>
          <w:tcPr>
            <w:tcW w:w="1090" w:type="pct"/>
            <w:tcBorders>
              <w:top w:val="nil"/>
              <w:left w:val="nil"/>
              <w:bottom w:val="nil"/>
              <w:right w:val="nil"/>
            </w:tcBorders>
          </w:tcPr>
          <w:p w14:paraId="4FE758C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79460B6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pubedu</w:t>
            </w:r>
            <w:proofErr w:type="spellEnd"/>
          </w:p>
        </w:tc>
        <w:tc>
          <w:tcPr>
            <w:tcW w:w="679" w:type="pct"/>
            <w:tcBorders>
              <w:top w:val="nil"/>
              <w:left w:val="nil"/>
              <w:bottom w:val="nil"/>
              <w:right w:val="nil"/>
            </w:tcBorders>
          </w:tcPr>
          <w:p w14:paraId="0F2F8BD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pubedu</w:t>
            </w:r>
            <w:proofErr w:type="spellEnd"/>
          </w:p>
        </w:tc>
        <w:tc>
          <w:tcPr>
            <w:tcW w:w="638" w:type="pct"/>
            <w:tcBorders>
              <w:top w:val="nil"/>
              <w:left w:val="nil"/>
              <w:bottom w:val="nil"/>
              <w:right w:val="nil"/>
            </w:tcBorders>
          </w:tcPr>
          <w:p w14:paraId="2E1382E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pubedu</w:t>
            </w:r>
            <w:proofErr w:type="spellEnd"/>
          </w:p>
        </w:tc>
        <w:tc>
          <w:tcPr>
            <w:tcW w:w="679" w:type="pct"/>
            <w:tcBorders>
              <w:top w:val="nil"/>
              <w:left w:val="nil"/>
              <w:bottom w:val="nil"/>
              <w:right w:val="nil"/>
            </w:tcBorders>
          </w:tcPr>
          <w:p w14:paraId="3D91B7A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pubedu</w:t>
            </w:r>
            <w:proofErr w:type="spellEnd"/>
          </w:p>
        </w:tc>
        <w:tc>
          <w:tcPr>
            <w:tcW w:w="617" w:type="pct"/>
            <w:tcBorders>
              <w:top w:val="nil"/>
              <w:left w:val="nil"/>
              <w:bottom w:val="nil"/>
              <w:right w:val="nil"/>
            </w:tcBorders>
          </w:tcPr>
          <w:p w14:paraId="1A4046E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pubedu</w:t>
            </w:r>
            <w:proofErr w:type="spellEnd"/>
          </w:p>
        </w:tc>
        <w:tc>
          <w:tcPr>
            <w:tcW w:w="679" w:type="pct"/>
            <w:tcBorders>
              <w:top w:val="nil"/>
              <w:left w:val="nil"/>
              <w:bottom w:val="nil"/>
              <w:right w:val="nil"/>
            </w:tcBorders>
          </w:tcPr>
          <w:p w14:paraId="2EEE058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pubedu</w:t>
            </w:r>
            <w:proofErr w:type="spellEnd"/>
          </w:p>
        </w:tc>
      </w:tr>
      <w:tr w:rsidR="00AE62A4" w:rsidRPr="00FA014E" w14:paraId="215872F8" w14:textId="77777777" w:rsidTr="00C93C71">
        <w:tc>
          <w:tcPr>
            <w:tcW w:w="1090" w:type="pct"/>
            <w:tcBorders>
              <w:top w:val="single" w:sz="4" w:space="0" w:color="auto"/>
              <w:left w:val="nil"/>
              <w:bottom w:val="nil"/>
              <w:right w:val="nil"/>
            </w:tcBorders>
          </w:tcPr>
          <w:p w14:paraId="57ADF23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resourcerent</w:t>
            </w:r>
            <w:proofErr w:type="spellEnd"/>
          </w:p>
        </w:tc>
        <w:tc>
          <w:tcPr>
            <w:tcW w:w="617" w:type="pct"/>
            <w:tcBorders>
              <w:top w:val="single" w:sz="4" w:space="0" w:color="auto"/>
              <w:left w:val="nil"/>
              <w:bottom w:val="nil"/>
              <w:right w:val="nil"/>
            </w:tcBorders>
          </w:tcPr>
          <w:p w14:paraId="4732A35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-0.0162*</w:t>
            </w:r>
          </w:p>
        </w:tc>
        <w:tc>
          <w:tcPr>
            <w:tcW w:w="679" w:type="pct"/>
            <w:tcBorders>
              <w:top w:val="single" w:sz="4" w:space="0" w:color="auto"/>
              <w:left w:val="nil"/>
              <w:bottom w:val="nil"/>
              <w:right w:val="nil"/>
            </w:tcBorders>
          </w:tcPr>
          <w:p w14:paraId="7CB2102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-0.0276**</w:t>
            </w:r>
          </w:p>
        </w:tc>
        <w:tc>
          <w:tcPr>
            <w:tcW w:w="638" w:type="pct"/>
            <w:tcBorders>
              <w:top w:val="single" w:sz="4" w:space="0" w:color="auto"/>
              <w:left w:val="nil"/>
              <w:bottom w:val="nil"/>
              <w:right w:val="nil"/>
            </w:tcBorders>
          </w:tcPr>
          <w:p w14:paraId="5621D10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-0.0349**</w:t>
            </w:r>
          </w:p>
        </w:tc>
        <w:tc>
          <w:tcPr>
            <w:tcW w:w="679" w:type="pct"/>
            <w:tcBorders>
              <w:top w:val="single" w:sz="4" w:space="0" w:color="auto"/>
              <w:left w:val="nil"/>
              <w:bottom w:val="nil"/>
              <w:right w:val="nil"/>
            </w:tcBorders>
          </w:tcPr>
          <w:p w14:paraId="6A5CC9F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-0.0222*</w:t>
            </w:r>
          </w:p>
        </w:tc>
        <w:tc>
          <w:tcPr>
            <w:tcW w:w="617" w:type="pct"/>
            <w:tcBorders>
              <w:top w:val="single" w:sz="4" w:space="0" w:color="auto"/>
              <w:left w:val="nil"/>
              <w:bottom w:val="nil"/>
              <w:right w:val="nil"/>
            </w:tcBorders>
          </w:tcPr>
          <w:p w14:paraId="04BBF89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-0.0273**</w:t>
            </w:r>
          </w:p>
        </w:tc>
        <w:tc>
          <w:tcPr>
            <w:tcW w:w="679" w:type="pct"/>
            <w:tcBorders>
              <w:top w:val="single" w:sz="4" w:space="0" w:color="auto"/>
              <w:left w:val="nil"/>
              <w:bottom w:val="nil"/>
              <w:right w:val="nil"/>
            </w:tcBorders>
          </w:tcPr>
          <w:p w14:paraId="3A3BC09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-0.0325**</w:t>
            </w:r>
          </w:p>
        </w:tc>
      </w:tr>
      <w:tr w:rsidR="00AE62A4" w:rsidRPr="00FA014E" w14:paraId="4D16EEFC" w14:textId="77777777" w:rsidTr="00C93C71">
        <w:tc>
          <w:tcPr>
            <w:tcW w:w="1090" w:type="pct"/>
            <w:tcBorders>
              <w:top w:val="nil"/>
              <w:left w:val="nil"/>
              <w:bottom w:val="nil"/>
              <w:right w:val="nil"/>
            </w:tcBorders>
          </w:tcPr>
          <w:p w14:paraId="593F4F3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6CCEB08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(0.00913)</w:t>
            </w:r>
          </w:p>
        </w:tc>
        <w:tc>
          <w:tcPr>
            <w:tcW w:w="679" w:type="pct"/>
            <w:tcBorders>
              <w:top w:val="nil"/>
              <w:left w:val="nil"/>
              <w:bottom w:val="nil"/>
              <w:right w:val="nil"/>
            </w:tcBorders>
          </w:tcPr>
          <w:p w14:paraId="5056B95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(0.0129)</w:t>
            </w:r>
          </w:p>
        </w:tc>
        <w:tc>
          <w:tcPr>
            <w:tcW w:w="638" w:type="pct"/>
            <w:tcBorders>
              <w:top w:val="nil"/>
              <w:left w:val="nil"/>
              <w:bottom w:val="nil"/>
              <w:right w:val="nil"/>
            </w:tcBorders>
          </w:tcPr>
          <w:p w14:paraId="2A11A63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(0.0124)</w:t>
            </w:r>
          </w:p>
        </w:tc>
        <w:tc>
          <w:tcPr>
            <w:tcW w:w="679" w:type="pct"/>
            <w:tcBorders>
              <w:top w:val="nil"/>
              <w:left w:val="nil"/>
              <w:bottom w:val="nil"/>
              <w:right w:val="nil"/>
            </w:tcBorders>
          </w:tcPr>
          <w:p w14:paraId="02222A6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(0.0113)</w:t>
            </w:r>
          </w:p>
        </w:tc>
        <w:tc>
          <w:tcPr>
            <w:tcW w:w="617" w:type="pct"/>
            <w:tcBorders>
              <w:top w:val="nil"/>
              <w:left w:val="nil"/>
              <w:bottom w:val="nil"/>
              <w:right w:val="nil"/>
            </w:tcBorders>
          </w:tcPr>
          <w:p w14:paraId="73C1818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(0.0116)</w:t>
            </w:r>
          </w:p>
        </w:tc>
        <w:tc>
          <w:tcPr>
            <w:tcW w:w="679" w:type="pct"/>
            <w:tcBorders>
              <w:top w:val="nil"/>
              <w:left w:val="nil"/>
              <w:bottom w:val="nil"/>
              <w:right w:val="nil"/>
            </w:tcBorders>
          </w:tcPr>
          <w:p w14:paraId="6192857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(0.0129)</w:t>
            </w:r>
          </w:p>
        </w:tc>
      </w:tr>
      <w:tr w:rsidR="00AE62A4" w:rsidRPr="00FA014E" w14:paraId="531655D7" w14:textId="77777777" w:rsidTr="00C93C71">
        <w:tc>
          <w:tcPr>
            <w:tcW w:w="1090" w:type="pct"/>
            <w:tcBorders>
              <w:top w:val="nil"/>
              <w:left w:val="nil"/>
              <w:bottom w:val="nil"/>
              <w:right w:val="nil"/>
            </w:tcBorders>
          </w:tcPr>
          <w:p w14:paraId="03DB21B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08A895F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468CDDB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2522CB4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42DCA70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25FF86C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56E2BA6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0CB43663" w14:textId="77777777" w:rsidTr="00C93C71">
        <w:tc>
          <w:tcPr>
            <w:tcW w:w="1090" w:type="pct"/>
            <w:tcBorders>
              <w:top w:val="nil"/>
              <w:left w:val="nil"/>
              <w:bottom w:val="nil"/>
              <w:right w:val="nil"/>
            </w:tcBorders>
          </w:tcPr>
          <w:p w14:paraId="1AE7F11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manufacture</w:t>
            </w:r>
          </w:p>
        </w:tc>
        <w:tc>
          <w:tcPr>
            <w:tcW w:w="617" w:type="pct"/>
            <w:tcBorders>
              <w:top w:val="nil"/>
              <w:left w:val="nil"/>
              <w:bottom w:val="nil"/>
              <w:right w:val="nil"/>
            </w:tcBorders>
          </w:tcPr>
          <w:p w14:paraId="4F1822D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0.0291**</w:t>
            </w:r>
          </w:p>
        </w:tc>
        <w:tc>
          <w:tcPr>
            <w:tcW w:w="679" w:type="pct"/>
            <w:tcBorders>
              <w:top w:val="nil"/>
              <w:left w:val="nil"/>
              <w:bottom w:val="nil"/>
              <w:right w:val="nil"/>
            </w:tcBorders>
          </w:tcPr>
          <w:p w14:paraId="6BFC9F9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0.0357**</w:t>
            </w:r>
          </w:p>
        </w:tc>
        <w:tc>
          <w:tcPr>
            <w:tcW w:w="638" w:type="pct"/>
            <w:tcBorders>
              <w:top w:val="nil"/>
              <w:left w:val="nil"/>
              <w:bottom w:val="nil"/>
              <w:right w:val="nil"/>
            </w:tcBorders>
          </w:tcPr>
          <w:p w14:paraId="5584354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0.0379**</w:t>
            </w:r>
          </w:p>
        </w:tc>
        <w:tc>
          <w:tcPr>
            <w:tcW w:w="679" w:type="pct"/>
            <w:tcBorders>
              <w:top w:val="nil"/>
              <w:left w:val="nil"/>
              <w:bottom w:val="nil"/>
              <w:right w:val="nil"/>
            </w:tcBorders>
          </w:tcPr>
          <w:p w14:paraId="4BFBFC1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0.0300**</w:t>
            </w:r>
          </w:p>
        </w:tc>
        <w:tc>
          <w:tcPr>
            <w:tcW w:w="617" w:type="pct"/>
            <w:tcBorders>
              <w:top w:val="nil"/>
              <w:left w:val="nil"/>
              <w:bottom w:val="nil"/>
              <w:right w:val="nil"/>
            </w:tcBorders>
          </w:tcPr>
          <w:p w14:paraId="1D03EE4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0.0356**</w:t>
            </w:r>
          </w:p>
        </w:tc>
        <w:tc>
          <w:tcPr>
            <w:tcW w:w="679" w:type="pct"/>
            <w:tcBorders>
              <w:top w:val="nil"/>
              <w:left w:val="nil"/>
              <w:bottom w:val="nil"/>
              <w:right w:val="nil"/>
            </w:tcBorders>
          </w:tcPr>
          <w:p w14:paraId="3AD807E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0.0472**</w:t>
            </w:r>
          </w:p>
        </w:tc>
      </w:tr>
      <w:tr w:rsidR="00AE62A4" w:rsidRPr="00FA014E" w14:paraId="6A71D16D" w14:textId="77777777" w:rsidTr="00C93C71">
        <w:tc>
          <w:tcPr>
            <w:tcW w:w="1090" w:type="pct"/>
            <w:tcBorders>
              <w:top w:val="nil"/>
              <w:left w:val="nil"/>
              <w:bottom w:val="nil"/>
              <w:right w:val="nil"/>
            </w:tcBorders>
          </w:tcPr>
          <w:p w14:paraId="7897250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5974EFD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(0.0102)</w:t>
            </w:r>
          </w:p>
        </w:tc>
        <w:tc>
          <w:tcPr>
            <w:tcW w:w="679" w:type="pct"/>
            <w:tcBorders>
              <w:top w:val="nil"/>
              <w:left w:val="nil"/>
              <w:bottom w:val="nil"/>
              <w:right w:val="nil"/>
            </w:tcBorders>
          </w:tcPr>
          <w:p w14:paraId="7622B53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(0.0118)</w:t>
            </w:r>
          </w:p>
        </w:tc>
        <w:tc>
          <w:tcPr>
            <w:tcW w:w="638" w:type="pct"/>
            <w:tcBorders>
              <w:top w:val="nil"/>
              <w:left w:val="nil"/>
              <w:bottom w:val="nil"/>
              <w:right w:val="nil"/>
            </w:tcBorders>
          </w:tcPr>
          <w:p w14:paraId="2C90021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(0.0118)</w:t>
            </w:r>
          </w:p>
        </w:tc>
        <w:tc>
          <w:tcPr>
            <w:tcW w:w="679" w:type="pct"/>
            <w:tcBorders>
              <w:top w:val="nil"/>
              <w:left w:val="nil"/>
              <w:bottom w:val="nil"/>
              <w:right w:val="nil"/>
            </w:tcBorders>
          </w:tcPr>
          <w:p w14:paraId="2BABE11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(0.0118)</w:t>
            </w:r>
          </w:p>
        </w:tc>
        <w:tc>
          <w:tcPr>
            <w:tcW w:w="617" w:type="pct"/>
            <w:tcBorders>
              <w:top w:val="nil"/>
              <w:left w:val="nil"/>
              <w:bottom w:val="nil"/>
              <w:right w:val="nil"/>
            </w:tcBorders>
          </w:tcPr>
          <w:p w14:paraId="7BE677C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(0.0119)</w:t>
            </w:r>
          </w:p>
        </w:tc>
        <w:tc>
          <w:tcPr>
            <w:tcW w:w="679" w:type="pct"/>
            <w:tcBorders>
              <w:top w:val="nil"/>
              <w:left w:val="nil"/>
              <w:bottom w:val="nil"/>
              <w:right w:val="nil"/>
            </w:tcBorders>
          </w:tcPr>
          <w:p w14:paraId="538D2FD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(0.0120)</w:t>
            </w:r>
          </w:p>
        </w:tc>
      </w:tr>
      <w:tr w:rsidR="00AE62A4" w:rsidRPr="00FA014E" w14:paraId="0FDB9339" w14:textId="77777777" w:rsidTr="00C93C71">
        <w:tc>
          <w:tcPr>
            <w:tcW w:w="1090" w:type="pct"/>
            <w:tcBorders>
              <w:top w:val="nil"/>
              <w:left w:val="nil"/>
              <w:bottom w:val="nil"/>
              <w:right w:val="nil"/>
            </w:tcBorders>
          </w:tcPr>
          <w:p w14:paraId="2B7C3FE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58AB693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42EF371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6E2179B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154683A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4D36277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3193D83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7E8C527B" w14:textId="77777777" w:rsidTr="00C93C71">
        <w:tc>
          <w:tcPr>
            <w:tcW w:w="1090" w:type="pct"/>
            <w:tcBorders>
              <w:top w:val="nil"/>
              <w:left w:val="nil"/>
              <w:bottom w:val="nil"/>
              <w:right w:val="nil"/>
            </w:tcBorders>
          </w:tcPr>
          <w:p w14:paraId="75ABBD3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agriculture</w:t>
            </w:r>
          </w:p>
        </w:tc>
        <w:tc>
          <w:tcPr>
            <w:tcW w:w="617" w:type="pct"/>
            <w:tcBorders>
              <w:top w:val="nil"/>
              <w:left w:val="nil"/>
              <w:bottom w:val="nil"/>
              <w:right w:val="nil"/>
            </w:tcBorders>
          </w:tcPr>
          <w:p w14:paraId="5887843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-0.105**</w:t>
            </w:r>
          </w:p>
        </w:tc>
        <w:tc>
          <w:tcPr>
            <w:tcW w:w="679" w:type="pct"/>
            <w:tcBorders>
              <w:top w:val="nil"/>
              <w:left w:val="nil"/>
              <w:bottom w:val="nil"/>
              <w:right w:val="nil"/>
            </w:tcBorders>
          </w:tcPr>
          <w:p w14:paraId="61E8B8C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-0.0720**</w:t>
            </w:r>
          </w:p>
        </w:tc>
        <w:tc>
          <w:tcPr>
            <w:tcW w:w="638" w:type="pct"/>
            <w:tcBorders>
              <w:top w:val="nil"/>
              <w:left w:val="nil"/>
              <w:bottom w:val="nil"/>
              <w:right w:val="nil"/>
            </w:tcBorders>
          </w:tcPr>
          <w:p w14:paraId="38049E7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-0.0876**</w:t>
            </w:r>
          </w:p>
        </w:tc>
        <w:tc>
          <w:tcPr>
            <w:tcW w:w="679" w:type="pct"/>
            <w:tcBorders>
              <w:top w:val="nil"/>
              <w:left w:val="nil"/>
              <w:bottom w:val="nil"/>
              <w:right w:val="nil"/>
            </w:tcBorders>
          </w:tcPr>
          <w:p w14:paraId="24408A6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-0.0851**</w:t>
            </w:r>
          </w:p>
        </w:tc>
        <w:tc>
          <w:tcPr>
            <w:tcW w:w="617" w:type="pct"/>
            <w:tcBorders>
              <w:top w:val="nil"/>
              <w:left w:val="nil"/>
              <w:bottom w:val="nil"/>
              <w:right w:val="nil"/>
            </w:tcBorders>
          </w:tcPr>
          <w:p w14:paraId="5B0A9AA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-0.0991**</w:t>
            </w:r>
          </w:p>
        </w:tc>
        <w:tc>
          <w:tcPr>
            <w:tcW w:w="679" w:type="pct"/>
            <w:tcBorders>
              <w:top w:val="nil"/>
              <w:left w:val="nil"/>
              <w:bottom w:val="nil"/>
              <w:right w:val="nil"/>
            </w:tcBorders>
          </w:tcPr>
          <w:p w14:paraId="40DD22C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-0.0809**</w:t>
            </w:r>
          </w:p>
        </w:tc>
      </w:tr>
      <w:tr w:rsidR="00AE62A4" w:rsidRPr="00FA014E" w14:paraId="61411426" w14:textId="77777777" w:rsidTr="00C93C71">
        <w:tc>
          <w:tcPr>
            <w:tcW w:w="1090" w:type="pct"/>
            <w:tcBorders>
              <w:top w:val="nil"/>
              <w:left w:val="nil"/>
              <w:bottom w:val="nil"/>
              <w:right w:val="nil"/>
            </w:tcBorders>
          </w:tcPr>
          <w:p w14:paraId="6845343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41F1F63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(0.0177)</w:t>
            </w:r>
          </w:p>
        </w:tc>
        <w:tc>
          <w:tcPr>
            <w:tcW w:w="679" w:type="pct"/>
            <w:tcBorders>
              <w:top w:val="nil"/>
              <w:left w:val="nil"/>
              <w:bottom w:val="nil"/>
              <w:right w:val="nil"/>
            </w:tcBorders>
          </w:tcPr>
          <w:p w14:paraId="7A8008C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(0.0229)</w:t>
            </w:r>
          </w:p>
        </w:tc>
        <w:tc>
          <w:tcPr>
            <w:tcW w:w="638" w:type="pct"/>
            <w:tcBorders>
              <w:top w:val="nil"/>
              <w:left w:val="nil"/>
              <w:bottom w:val="nil"/>
              <w:right w:val="nil"/>
            </w:tcBorders>
          </w:tcPr>
          <w:p w14:paraId="1CDCAD5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(0.0227)</w:t>
            </w:r>
          </w:p>
        </w:tc>
        <w:tc>
          <w:tcPr>
            <w:tcW w:w="679" w:type="pct"/>
            <w:tcBorders>
              <w:top w:val="nil"/>
              <w:left w:val="nil"/>
              <w:bottom w:val="nil"/>
              <w:right w:val="nil"/>
            </w:tcBorders>
          </w:tcPr>
          <w:p w14:paraId="58F33C6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(0.0207)</w:t>
            </w:r>
          </w:p>
        </w:tc>
        <w:tc>
          <w:tcPr>
            <w:tcW w:w="617" w:type="pct"/>
            <w:tcBorders>
              <w:top w:val="nil"/>
              <w:left w:val="nil"/>
              <w:bottom w:val="nil"/>
              <w:right w:val="nil"/>
            </w:tcBorders>
          </w:tcPr>
          <w:p w14:paraId="0661D63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(0.0216)</w:t>
            </w:r>
          </w:p>
        </w:tc>
        <w:tc>
          <w:tcPr>
            <w:tcW w:w="679" w:type="pct"/>
            <w:tcBorders>
              <w:top w:val="nil"/>
              <w:left w:val="nil"/>
              <w:bottom w:val="nil"/>
              <w:right w:val="nil"/>
            </w:tcBorders>
          </w:tcPr>
          <w:p w14:paraId="726329A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(0.0236)</w:t>
            </w:r>
          </w:p>
        </w:tc>
      </w:tr>
      <w:tr w:rsidR="00AE62A4" w:rsidRPr="00FA014E" w14:paraId="7ABFEC27" w14:textId="77777777" w:rsidTr="00C93C71">
        <w:tc>
          <w:tcPr>
            <w:tcW w:w="1090" w:type="pct"/>
            <w:tcBorders>
              <w:top w:val="nil"/>
              <w:left w:val="nil"/>
              <w:bottom w:val="nil"/>
              <w:right w:val="nil"/>
            </w:tcBorders>
          </w:tcPr>
          <w:p w14:paraId="18AEF00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0A3A86C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0250173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5596896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0B22A6D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4B665B5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30CB1A6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425AA00B" w14:textId="77777777" w:rsidTr="00C93C71">
        <w:tc>
          <w:tcPr>
            <w:tcW w:w="1090" w:type="pct"/>
            <w:tcBorders>
              <w:top w:val="nil"/>
              <w:left w:val="nil"/>
              <w:bottom w:val="nil"/>
              <w:right w:val="nil"/>
            </w:tcBorders>
          </w:tcPr>
          <w:p w14:paraId="2FD38A1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Gdp</w:t>
            </w:r>
            <w:proofErr w:type="spellEnd"/>
            <w:r w:rsidRPr="00FA014E">
              <w:rPr>
                <w:rFonts w:ascii="Times New Roman" w:eastAsiaTheme="minorEastAsia" w:hAnsi="Times New Roman" w:cs="Times New Roman"/>
                <w:sz w:val="20"/>
                <w:szCs w:val="20"/>
              </w:rPr>
              <w:t xml:space="preserve"> </w:t>
            </w:r>
            <w:proofErr w:type="spellStart"/>
            <w:r w:rsidRPr="00FA014E">
              <w:rPr>
                <w:rFonts w:ascii="Times New Roman" w:eastAsiaTheme="minorEastAsia" w:hAnsi="Times New Roman" w:cs="Times New Roman"/>
                <w:sz w:val="20"/>
                <w:szCs w:val="20"/>
              </w:rPr>
              <w:t>percapita</w:t>
            </w:r>
            <w:proofErr w:type="spellEnd"/>
          </w:p>
        </w:tc>
        <w:tc>
          <w:tcPr>
            <w:tcW w:w="617" w:type="pct"/>
            <w:tcBorders>
              <w:top w:val="nil"/>
              <w:left w:val="nil"/>
              <w:bottom w:val="nil"/>
              <w:right w:val="nil"/>
            </w:tcBorders>
          </w:tcPr>
          <w:p w14:paraId="6166040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-0.0185**</w:t>
            </w:r>
          </w:p>
        </w:tc>
        <w:tc>
          <w:tcPr>
            <w:tcW w:w="679" w:type="pct"/>
            <w:tcBorders>
              <w:top w:val="nil"/>
              <w:left w:val="nil"/>
              <w:bottom w:val="nil"/>
              <w:right w:val="nil"/>
            </w:tcBorders>
          </w:tcPr>
          <w:p w14:paraId="21B6433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-0.0195**</w:t>
            </w:r>
          </w:p>
        </w:tc>
        <w:tc>
          <w:tcPr>
            <w:tcW w:w="638" w:type="pct"/>
            <w:tcBorders>
              <w:top w:val="nil"/>
              <w:left w:val="nil"/>
              <w:bottom w:val="nil"/>
              <w:right w:val="nil"/>
            </w:tcBorders>
          </w:tcPr>
          <w:p w14:paraId="683C417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-0.0146**</w:t>
            </w:r>
          </w:p>
        </w:tc>
        <w:tc>
          <w:tcPr>
            <w:tcW w:w="679" w:type="pct"/>
            <w:tcBorders>
              <w:top w:val="nil"/>
              <w:left w:val="nil"/>
              <w:bottom w:val="nil"/>
              <w:right w:val="nil"/>
            </w:tcBorders>
          </w:tcPr>
          <w:p w14:paraId="6AA8081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-0.0159**</w:t>
            </w:r>
          </w:p>
        </w:tc>
        <w:tc>
          <w:tcPr>
            <w:tcW w:w="617" w:type="pct"/>
            <w:tcBorders>
              <w:top w:val="nil"/>
              <w:left w:val="nil"/>
              <w:bottom w:val="nil"/>
              <w:right w:val="nil"/>
            </w:tcBorders>
          </w:tcPr>
          <w:p w14:paraId="4B4BF58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-0.0157**</w:t>
            </w:r>
          </w:p>
        </w:tc>
        <w:tc>
          <w:tcPr>
            <w:tcW w:w="679" w:type="pct"/>
            <w:tcBorders>
              <w:top w:val="nil"/>
              <w:left w:val="nil"/>
              <w:bottom w:val="nil"/>
              <w:right w:val="nil"/>
            </w:tcBorders>
          </w:tcPr>
          <w:p w14:paraId="3C16662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-0.0181**</w:t>
            </w:r>
          </w:p>
        </w:tc>
      </w:tr>
      <w:tr w:rsidR="00AE62A4" w:rsidRPr="00FA014E" w14:paraId="7B75DBED" w14:textId="77777777" w:rsidTr="00C93C71">
        <w:tc>
          <w:tcPr>
            <w:tcW w:w="1090" w:type="pct"/>
            <w:tcBorders>
              <w:top w:val="nil"/>
              <w:left w:val="nil"/>
              <w:bottom w:val="nil"/>
              <w:right w:val="nil"/>
            </w:tcBorders>
          </w:tcPr>
          <w:p w14:paraId="29BA9BB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76F48D8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(0.00419)</w:t>
            </w:r>
          </w:p>
        </w:tc>
        <w:tc>
          <w:tcPr>
            <w:tcW w:w="679" w:type="pct"/>
            <w:tcBorders>
              <w:top w:val="nil"/>
              <w:left w:val="nil"/>
              <w:bottom w:val="nil"/>
              <w:right w:val="nil"/>
            </w:tcBorders>
          </w:tcPr>
          <w:p w14:paraId="1EE649E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(0.00489)</w:t>
            </w:r>
          </w:p>
        </w:tc>
        <w:tc>
          <w:tcPr>
            <w:tcW w:w="638" w:type="pct"/>
            <w:tcBorders>
              <w:top w:val="nil"/>
              <w:left w:val="nil"/>
              <w:bottom w:val="nil"/>
              <w:right w:val="nil"/>
            </w:tcBorders>
          </w:tcPr>
          <w:p w14:paraId="03AE4FC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(0.00488)</w:t>
            </w:r>
          </w:p>
        </w:tc>
        <w:tc>
          <w:tcPr>
            <w:tcW w:w="679" w:type="pct"/>
            <w:tcBorders>
              <w:top w:val="nil"/>
              <w:left w:val="nil"/>
              <w:bottom w:val="nil"/>
              <w:right w:val="nil"/>
            </w:tcBorders>
          </w:tcPr>
          <w:p w14:paraId="513760D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(0.00502)</w:t>
            </w:r>
          </w:p>
        </w:tc>
        <w:tc>
          <w:tcPr>
            <w:tcW w:w="617" w:type="pct"/>
            <w:tcBorders>
              <w:top w:val="nil"/>
              <w:left w:val="nil"/>
              <w:bottom w:val="nil"/>
              <w:right w:val="nil"/>
            </w:tcBorders>
          </w:tcPr>
          <w:p w14:paraId="548B8A0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(0.00500)</w:t>
            </w:r>
          </w:p>
        </w:tc>
        <w:tc>
          <w:tcPr>
            <w:tcW w:w="679" w:type="pct"/>
            <w:tcBorders>
              <w:top w:val="nil"/>
              <w:left w:val="nil"/>
              <w:bottom w:val="nil"/>
              <w:right w:val="nil"/>
            </w:tcBorders>
          </w:tcPr>
          <w:p w14:paraId="083BDC0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(0.00474)</w:t>
            </w:r>
          </w:p>
        </w:tc>
      </w:tr>
      <w:tr w:rsidR="00AE62A4" w:rsidRPr="00FA014E" w14:paraId="2AB4CAC8" w14:textId="77777777" w:rsidTr="00C93C71">
        <w:tc>
          <w:tcPr>
            <w:tcW w:w="1090" w:type="pct"/>
            <w:tcBorders>
              <w:top w:val="nil"/>
              <w:left w:val="nil"/>
              <w:bottom w:val="nil"/>
              <w:right w:val="nil"/>
            </w:tcBorders>
          </w:tcPr>
          <w:p w14:paraId="738300F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03C8027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2B13F5F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37CEB61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102BF87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01E7562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22E0F21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4047B557" w14:textId="77777777" w:rsidTr="00C93C71">
        <w:tc>
          <w:tcPr>
            <w:tcW w:w="1090" w:type="pct"/>
            <w:tcBorders>
              <w:top w:val="nil"/>
              <w:left w:val="nil"/>
              <w:bottom w:val="nil"/>
              <w:right w:val="nil"/>
            </w:tcBorders>
          </w:tcPr>
          <w:p w14:paraId="74D4246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population</w:t>
            </w:r>
          </w:p>
        </w:tc>
        <w:tc>
          <w:tcPr>
            <w:tcW w:w="617" w:type="pct"/>
            <w:tcBorders>
              <w:top w:val="nil"/>
              <w:left w:val="nil"/>
              <w:bottom w:val="nil"/>
              <w:right w:val="nil"/>
            </w:tcBorders>
          </w:tcPr>
          <w:p w14:paraId="0984B99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-0.0156</w:t>
            </w:r>
          </w:p>
        </w:tc>
        <w:tc>
          <w:tcPr>
            <w:tcW w:w="679" w:type="pct"/>
            <w:tcBorders>
              <w:top w:val="nil"/>
              <w:left w:val="nil"/>
              <w:bottom w:val="nil"/>
              <w:right w:val="nil"/>
            </w:tcBorders>
          </w:tcPr>
          <w:p w14:paraId="43D1992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-0.0270**</w:t>
            </w:r>
          </w:p>
        </w:tc>
        <w:tc>
          <w:tcPr>
            <w:tcW w:w="638" w:type="pct"/>
            <w:tcBorders>
              <w:top w:val="nil"/>
              <w:left w:val="nil"/>
              <w:bottom w:val="nil"/>
              <w:right w:val="nil"/>
            </w:tcBorders>
          </w:tcPr>
          <w:p w14:paraId="5AEDFE5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-0.0153</w:t>
            </w:r>
          </w:p>
        </w:tc>
        <w:tc>
          <w:tcPr>
            <w:tcW w:w="679" w:type="pct"/>
            <w:tcBorders>
              <w:top w:val="nil"/>
              <w:left w:val="nil"/>
              <w:bottom w:val="nil"/>
              <w:right w:val="nil"/>
            </w:tcBorders>
          </w:tcPr>
          <w:p w14:paraId="7743CCE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-0.0245*</w:t>
            </w:r>
          </w:p>
        </w:tc>
        <w:tc>
          <w:tcPr>
            <w:tcW w:w="617" w:type="pct"/>
            <w:tcBorders>
              <w:top w:val="nil"/>
              <w:left w:val="nil"/>
              <w:bottom w:val="nil"/>
              <w:right w:val="nil"/>
            </w:tcBorders>
          </w:tcPr>
          <w:p w14:paraId="7F19F1E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-0.0176</w:t>
            </w:r>
          </w:p>
        </w:tc>
        <w:tc>
          <w:tcPr>
            <w:tcW w:w="679" w:type="pct"/>
            <w:tcBorders>
              <w:top w:val="nil"/>
              <w:left w:val="nil"/>
              <w:bottom w:val="nil"/>
              <w:right w:val="nil"/>
            </w:tcBorders>
          </w:tcPr>
          <w:p w14:paraId="2161CED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-0.0249*</w:t>
            </w:r>
          </w:p>
        </w:tc>
      </w:tr>
      <w:tr w:rsidR="00AE62A4" w:rsidRPr="00FA014E" w14:paraId="63D1A6E7" w14:textId="77777777" w:rsidTr="00C93C71">
        <w:tc>
          <w:tcPr>
            <w:tcW w:w="1090" w:type="pct"/>
            <w:tcBorders>
              <w:top w:val="nil"/>
              <w:left w:val="nil"/>
              <w:bottom w:val="nil"/>
              <w:right w:val="nil"/>
            </w:tcBorders>
          </w:tcPr>
          <w:p w14:paraId="1A0491C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3C59BB4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(0.0110)</w:t>
            </w:r>
          </w:p>
        </w:tc>
        <w:tc>
          <w:tcPr>
            <w:tcW w:w="679" w:type="pct"/>
            <w:tcBorders>
              <w:top w:val="nil"/>
              <w:left w:val="nil"/>
              <w:bottom w:val="nil"/>
              <w:right w:val="nil"/>
            </w:tcBorders>
          </w:tcPr>
          <w:p w14:paraId="5972D59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(0.0132)</w:t>
            </w:r>
          </w:p>
        </w:tc>
        <w:tc>
          <w:tcPr>
            <w:tcW w:w="638" w:type="pct"/>
            <w:tcBorders>
              <w:top w:val="nil"/>
              <w:left w:val="nil"/>
              <w:bottom w:val="nil"/>
              <w:right w:val="nil"/>
            </w:tcBorders>
          </w:tcPr>
          <w:p w14:paraId="25797F5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(0.0129)</w:t>
            </w:r>
          </w:p>
        </w:tc>
        <w:tc>
          <w:tcPr>
            <w:tcW w:w="679" w:type="pct"/>
            <w:tcBorders>
              <w:top w:val="nil"/>
              <w:left w:val="nil"/>
              <w:bottom w:val="nil"/>
              <w:right w:val="nil"/>
            </w:tcBorders>
          </w:tcPr>
          <w:p w14:paraId="4116F2E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(0.0129)</w:t>
            </w:r>
          </w:p>
        </w:tc>
        <w:tc>
          <w:tcPr>
            <w:tcW w:w="617" w:type="pct"/>
            <w:tcBorders>
              <w:top w:val="nil"/>
              <w:left w:val="nil"/>
              <w:bottom w:val="nil"/>
              <w:right w:val="nil"/>
            </w:tcBorders>
          </w:tcPr>
          <w:p w14:paraId="2870D6D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(0.0130)</w:t>
            </w:r>
          </w:p>
        </w:tc>
        <w:tc>
          <w:tcPr>
            <w:tcW w:w="679" w:type="pct"/>
            <w:tcBorders>
              <w:top w:val="nil"/>
              <w:left w:val="nil"/>
              <w:bottom w:val="nil"/>
              <w:right w:val="nil"/>
            </w:tcBorders>
          </w:tcPr>
          <w:p w14:paraId="0BEED0E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(0.0128)</w:t>
            </w:r>
          </w:p>
        </w:tc>
      </w:tr>
      <w:tr w:rsidR="00AE62A4" w:rsidRPr="00FA014E" w14:paraId="2EACF2AB" w14:textId="77777777" w:rsidTr="00C93C71">
        <w:tc>
          <w:tcPr>
            <w:tcW w:w="1090" w:type="pct"/>
            <w:tcBorders>
              <w:top w:val="nil"/>
              <w:left w:val="nil"/>
              <w:bottom w:val="nil"/>
              <w:right w:val="nil"/>
            </w:tcBorders>
          </w:tcPr>
          <w:p w14:paraId="7CFCDC7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0BA26DF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7161612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3FD875B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6E2822C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14CB027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4B2A3E8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42150E53" w14:textId="77777777" w:rsidTr="00C93C71">
        <w:tc>
          <w:tcPr>
            <w:tcW w:w="1090" w:type="pct"/>
            <w:tcBorders>
              <w:top w:val="nil"/>
              <w:left w:val="nil"/>
              <w:bottom w:val="nil"/>
              <w:right w:val="nil"/>
            </w:tcBorders>
          </w:tcPr>
          <w:p w14:paraId="3BE6641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oldpopulation</w:t>
            </w:r>
            <w:proofErr w:type="spellEnd"/>
          </w:p>
        </w:tc>
        <w:tc>
          <w:tcPr>
            <w:tcW w:w="617" w:type="pct"/>
            <w:tcBorders>
              <w:top w:val="nil"/>
              <w:left w:val="nil"/>
              <w:bottom w:val="nil"/>
              <w:right w:val="nil"/>
            </w:tcBorders>
          </w:tcPr>
          <w:p w14:paraId="109B65C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0.524**</w:t>
            </w:r>
          </w:p>
        </w:tc>
        <w:tc>
          <w:tcPr>
            <w:tcW w:w="679" w:type="pct"/>
            <w:tcBorders>
              <w:top w:val="nil"/>
              <w:left w:val="nil"/>
              <w:bottom w:val="nil"/>
              <w:right w:val="nil"/>
            </w:tcBorders>
          </w:tcPr>
          <w:p w14:paraId="349C7AC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0.425**</w:t>
            </w:r>
          </w:p>
        </w:tc>
        <w:tc>
          <w:tcPr>
            <w:tcW w:w="638" w:type="pct"/>
            <w:tcBorders>
              <w:top w:val="nil"/>
              <w:left w:val="nil"/>
              <w:bottom w:val="nil"/>
              <w:right w:val="nil"/>
            </w:tcBorders>
          </w:tcPr>
          <w:p w14:paraId="721FFFC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0.375**</w:t>
            </w:r>
          </w:p>
        </w:tc>
        <w:tc>
          <w:tcPr>
            <w:tcW w:w="679" w:type="pct"/>
            <w:tcBorders>
              <w:top w:val="nil"/>
              <w:left w:val="nil"/>
              <w:bottom w:val="nil"/>
              <w:right w:val="nil"/>
            </w:tcBorders>
          </w:tcPr>
          <w:p w14:paraId="50A5934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0.510**</w:t>
            </w:r>
          </w:p>
        </w:tc>
        <w:tc>
          <w:tcPr>
            <w:tcW w:w="617" w:type="pct"/>
            <w:tcBorders>
              <w:top w:val="nil"/>
              <w:left w:val="nil"/>
              <w:bottom w:val="nil"/>
              <w:right w:val="nil"/>
            </w:tcBorders>
          </w:tcPr>
          <w:p w14:paraId="7B0FADA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0.398**</w:t>
            </w:r>
          </w:p>
        </w:tc>
        <w:tc>
          <w:tcPr>
            <w:tcW w:w="679" w:type="pct"/>
            <w:tcBorders>
              <w:top w:val="nil"/>
              <w:left w:val="nil"/>
              <w:bottom w:val="nil"/>
              <w:right w:val="nil"/>
            </w:tcBorders>
          </w:tcPr>
          <w:p w14:paraId="23850B7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0.436**</w:t>
            </w:r>
          </w:p>
        </w:tc>
      </w:tr>
      <w:tr w:rsidR="00AE62A4" w:rsidRPr="00FA014E" w14:paraId="1524A4C7" w14:textId="77777777" w:rsidTr="00C93C71">
        <w:tc>
          <w:tcPr>
            <w:tcW w:w="1090" w:type="pct"/>
            <w:tcBorders>
              <w:top w:val="nil"/>
              <w:left w:val="nil"/>
              <w:bottom w:val="nil"/>
              <w:right w:val="nil"/>
            </w:tcBorders>
          </w:tcPr>
          <w:p w14:paraId="3CD34DE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1161A41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(0.125)</w:t>
            </w:r>
          </w:p>
        </w:tc>
        <w:tc>
          <w:tcPr>
            <w:tcW w:w="679" w:type="pct"/>
            <w:tcBorders>
              <w:top w:val="nil"/>
              <w:left w:val="nil"/>
              <w:bottom w:val="nil"/>
              <w:right w:val="nil"/>
            </w:tcBorders>
          </w:tcPr>
          <w:p w14:paraId="69E1C1A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(0.145)</w:t>
            </w:r>
          </w:p>
        </w:tc>
        <w:tc>
          <w:tcPr>
            <w:tcW w:w="638" w:type="pct"/>
            <w:tcBorders>
              <w:top w:val="nil"/>
              <w:left w:val="nil"/>
              <w:bottom w:val="nil"/>
              <w:right w:val="nil"/>
            </w:tcBorders>
          </w:tcPr>
          <w:p w14:paraId="14CF0AB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(0.144)</w:t>
            </w:r>
          </w:p>
        </w:tc>
        <w:tc>
          <w:tcPr>
            <w:tcW w:w="679" w:type="pct"/>
            <w:tcBorders>
              <w:top w:val="nil"/>
              <w:left w:val="nil"/>
              <w:bottom w:val="nil"/>
              <w:right w:val="nil"/>
            </w:tcBorders>
          </w:tcPr>
          <w:p w14:paraId="65DA1F2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(0.149)</w:t>
            </w:r>
          </w:p>
        </w:tc>
        <w:tc>
          <w:tcPr>
            <w:tcW w:w="617" w:type="pct"/>
            <w:tcBorders>
              <w:top w:val="nil"/>
              <w:left w:val="nil"/>
              <w:bottom w:val="nil"/>
              <w:right w:val="nil"/>
            </w:tcBorders>
          </w:tcPr>
          <w:p w14:paraId="7BE95EB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(0.147)</w:t>
            </w:r>
          </w:p>
        </w:tc>
        <w:tc>
          <w:tcPr>
            <w:tcW w:w="679" w:type="pct"/>
            <w:tcBorders>
              <w:top w:val="nil"/>
              <w:left w:val="nil"/>
              <w:bottom w:val="nil"/>
              <w:right w:val="nil"/>
            </w:tcBorders>
          </w:tcPr>
          <w:p w14:paraId="42E2E2D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(0.146)</w:t>
            </w:r>
          </w:p>
        </w:tc>
      </w:tr>
      <w:tr w:rsidR="00AE62A4" w:rsidRPr="00FA014E" w14:paraId="7DFE3C55" w14:textId="77777777" w:rsidTr="00C93C71">
        <w:tc>
          <w:tcPr>
            <w:tcW w:w="1090" w:type="pct"/>
            <w:tcBorders>
              <w:top w:val="nil"/>
              <w:left w:val="nil"/>
              <w:bottom w:val="nil"/>
              <w:right w:val="nil"/>
            </w:tcBorders>
          </w:tcPr>
          <w:p w14:paraId="39D21DE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4CD1852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1CECF98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4A2DDF9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5CE7E0D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46A8DC3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5715E4F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58649322" w14:textId="77777777" w:rsidTr="00C93C71">
        <w:tc>
          <w:tcPr>
            <w:tcW w:w="1090" w:type="pct"/>
            <w:tcBorders>
              <w:top w:val="nil"/>
              <w:left w:val="nil"/>
              <w:bottom w:val="nil"/>
              <w:right w:val="nil"/>
            </w:tcBorders>
          </w:tcPr>
          <w:p w14:paraId="1D5D903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Gdp</w:t>
            </w:r>
            <w:proofErr w:type="spellEnd"/>
            <w:r w:rsidRPr="00FA014E">
              <w:rPr>
                <w:rFonts w:ascii="Times New Roman" w:eastAsiaTheme="minorEastAsia" w:hAnsi="Times New Roman" w:cs="Times New Roman"/>
                <w:sz w:val="20"/>
                <w:szCs w:val="20"/>
              </w:rPr>
              <w:t xml:space="preserve"> growth</w:t>
            </w:r>
          </w:p>
        </w:tc>
        <w:tc>
          <w:tcPr>
            <w:tcW w:w="617" w:type="pct"/>
            <w:tcBorders>
              <w:top w:val="nil"/>
              <w:left w:val="nil"/>
              <w:bottom w:val="nil"/>
              <w:right w:val="nil"/>
            </w:tcBorders>
          </w:tcPr>
          <w:p w14:paraId="2971D02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-0.0156</w:t>
            </w:r>
          </w:p>
        </w:tc>
        <w:tc>
          <w:tcPr>
            <w:tcW w:w="679" w:type="pct"/>
            <w:tcBorders>
              <w:top w:val="nil"/>
              <w:left w:val="nil"/>
              <w:bottom w:val="nil"/>
              <w:right w:val="nil"/>
            </w:tcBorders>
          </w:tcPr>
          <w:p w14:paraId="0E4BBAB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-0.0153</w:t>
            </w:r>
          </w:p>
        </w:tc>
        <w:tc>
          <w:tcPr>
            <w:tcW w:w="638" w:type="pct"/>
            <w:tcBorders>
              <w:top w:val="nil"/>
              <w:left w:val="nil"/>
              <w:bottom w:val="nil"/>
              <w:right w:val="nil"/>
            </w:tcBorders>
          </w:tcPr>
          <w:p w14:paraId="0A46E80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-0.0198*</w:t>
            </w:r>
          </w:p>
        </w:tc>
        <w:tc>
          <w:tcPr>
            <w:tcW w:w="679" w:type="pct"/>
            <w:tcBorders>
              <w:top w:val="nil"/>
              <w:left w:val="nil"/>
              <w:bottom w:val="nil"/>
              <w:right w:val="nil"/>
            </w:tcBorders>
          </w:tcPr>
          <w:p w14:paraId="5D41384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-0.0176</w:t>
            </w:r>
          </w:p>
        </w:tc>
        <w:tc>
          <w:tcPr>
            <w:tcW w:w="617" w:type="pct"/>
            <w:tcBorders>
              <w:top w:val="nil"/>
              <w:left w:val="nil"/>
              <w:bottom w:val="nil"/>
              <w:right w:val="nil"/>
            </w:tcBorders>
          </w:tcPr>
          <w:p w14:paraId="2A19CC4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-0.0208*</w:t>
            </w:r>
          </w:p>
        </w:tc>
        <w:tc>
          <w:tcPr>
            <w:tcW w:w="679" w:type="pct"/>
            <w:tcBorders>
              <w:top w:val="nil"/>
              <w:left w:val="nil"/>
              <w:bottom w:val="nil"/>
              <w:right w:val="nil"/>
            </w:tcBorders>
          </w:tcPr>
          <w:p w14:paraId="3ABF4FC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-0.0195*</w:t>
            </w:r>
          </w:p>
        </w:tc>
      </w:tr>
      <w:tr w:rsidR="00AE62A4" w:rsidRPr="00FA014E" w14:paraId="02ABFF30" w14:textId="77777777" w:rsidTr="00C93C71">
        <w:tc>
          <w:tcPr>
            <w:tcW w:w="1090" w:type="pct"/>
            <w:tcBorders>
              <w:top w:val="nil"/>
              <w:left w:val="nil"/>
              <w:bottom w:val="nil"/>
              <w:right w:val="nil"/>
            </w:tcBorders>
          </w:tcPr>
          <w:p w14:paraId="256D534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6E2068B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(0.0101)</w:t>
            </w:r>
          </w:p>
        </w:tc>
        <w:tc>
          <w:tcPr>
            <w:tcW w:w="679" w:type="pct"/>
            <w:tcBorders>
              <w:top w:val="nil"/>
              <w:left w:val="nil"/>
              <w:bottom w:val="nil"/>
              <w:right w:val="nil"/>
            </w:tcBorders>
          </w:tcPr>
          <w:p w14:paraId="6C5D13F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(0.0114)</w:t>
            </w:r>
          </w:p>
        </w:tc>
        <w:tc>
          <w:tcPr>
            <w:tcW w:w="638" w:type="pct"/>
            <w:tcBorders>
              <w:top w:val="nil"/>
              <w:left w:val="nil"/>
              <w:bottom w:val="nil"/>
              <w:right w:val="nil"/>
            </w:tcBorders>
          </w:tcPr>
          <w:p w14:paraId="49D481B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(0.0113)</w:t>
            </w:r>
          </w:p>
        </w:tc>
        <w:tc>
          <w:tcPr>
            <w:tcW w:w="679" w:type="pct"/>
            <w:tcBorders>
              <w:top w:val="nil"/>
              <w:left w:val="nil"/>
              <w:bottom w:val="nil"/>
              <w:right w:val="nil"/>
            </w:tcBorders>
          </w:tcPr>
          <w:p w14:paraId="7880205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(0.0113)</w:t>
            </w:r>
          </w:p>
        </w:tc>
        <w:tc>
          <w:tcPr>
            <w:tcW w:w="617" w:type="pct"/>
            <w:tcBorders>
              <w:top w:val="nil"/>
              <w:left w:val="nil"/>
              <w:bottom w:val="nil"/>
              <w:right w:val="nil"/>
            </w:tcBorders>
          </w:tcPr>
          <w:p w14:paraId="6666916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(0.0114)</w:t>
            </w:r>
          </w:p>
        </w:tc>
        <w:tc>
          <w:tcPr>
            <w:tcW w:w="679" w:type="pct"/>
            <w:tcBorders>
              <w:top w:val="nil"/>
              <w:left w:val="nil"/>
              <w:bottom w:val="nil"/>
              <w:right w:val="nil"/>
            </w:tcBorders>
          </w:tcPr>
          <w:p w14:paraId="07E54C4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(0.0113)</w:t>
            </w:r>
          </w:p>
        </w:tc>
      </w:tr>
      <w:tr w:rsidR="00AE62A4" w:rsidRPr="00FA014E" w14:paraId="13C2F0F4" w14:textId="77777777" w:rsidTr="00C93C71">
        <w:tc>
          <w:tcPr>
            <w:tcW w:w="1090" w:type="pct"/>
            <w:tcBorders>
              <w:top w:val="nil"/>
              <w:left w:val="nil"/>
              <w:bottom w:val="nil"/>
              <w:right w:val="nil"/>
            </w:tcBorders>
          </w:tcPr>
          <w:p w14:paraId="1B697B2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38A743A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03DBCB3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220EE90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310D627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698660C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633C1A1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21AEDA63" w14:textId="77777777" w:rsidTr="00C93C71">
        <w:tc>
          <w:tcPr>
            <w:tcW w:w="1090" w:type="pct"/>
            <w:tcBorders>
              <w:top w:val="nil"/>
              <w:left w:val="nil"/>
              <w:bottom w:val="nil"/>
              <w:right w:val="nil"/>
            </w:tcBorders>
          </w:tcPr>
          <w:p w14:paraId="38A2846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government size</w:t>
            </w:r>
          </w:p>
        </w:tc>
        <w:tc>
          <w:tcPr>
            <w:tcW w:w="617" w:type="pct"/>
            <w:tcBorders>
              <w:top w:val="nil"/>
              <w:left w:val="nil"/>
              <w:bottom w:val="nil"/>
              <w:right w:val="nil"/>
            </w:tcBorders>
          </w:tcPr>
          <w:p w14:paraId="4DBD388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0.0476**</w:t>
            </w:r>
          </w:p>
        </w:tc>
        <w:tc>
          <w:tcPr>
            <w:tcW w:w="679" w:type="pct"/>
            <w:tcBorders>
              <w:top w:val="nil"/>
              <w:left w:val="nil"/>
              <w:bottom w:val="nil"/>
              <w:right w:val="nil"/>
            </w:tcBorders>
          </w:tcPr>
          <w:p w14:paraId="6F2DA0B3"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0.0417**</w:t>
            </w:r>
          </w:p>
        </w:tc>
        <w:tc>
          <w:tcPr>
            <w:tcW w:w="638" w:type="pct"/>
            <w:tcBorders>
              <w:top w:val="nil"/>
              <w:left w:val="nil"/>
              <w:bottom w:val="nil"/>
              <w:right w:val="nil"/>
            </w:tcBorders>
          </w:tcPr>
          <w:p w14:paraId="447AEC3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0.0443**</w:t>
            </w:r>
          </w:p>
        </w:tc>
        <w:tc>
          <w:tcPr>
            <w:tcW w:w="679" w:type="pct"/>
            <w:tcBorders>
              <w:top w:val="nil"/>
              <w:left w:val="nil"/>
              <w:bottom w:val="nil"/>
              <w:right w:val="nil"/>
            </w:tcBorders>
          </w:tcPr>
          <w:p w14:paraId="3AC3BC5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0.0487**</w:t>
            </w:r>
          </w:p>
        </w:tc>
        <w:tc>
          <w:tcPr>
            <w:tcW w:w="617" w:type="pct"/>
            <w:tcBorders>
              <w:top w:val="nil"/>
              <w:left w:val="nil"/>
              <w:bottom w:val="nil"/>
              <w:right w:val="nil"/>
            </w:tcBorders>
          </w:tcPr>
          <w:p w14:paraId="021D135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0.0419**</w:t>
            </w:r>
          </w:p>
        </w:tc>
        <w:tc>
          <w:tcPr>
            <w:tcW w:w="679" w:type="pct"/>
            <w:tcBorders>
              <w:top w:val="nil"/>
              <w:left w:val="nil"/>
              <w:bottom w:val="nil"/>
              <w:right w:val="nil"/>
            </w:tcBorders>
          </w:tcPr>
          <w:p w14:paraId="307C0A9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0.0403**</w:t>
            </w:r>
          </w:p>
        </w:tc>
      </w:tr>
      <w:tr w:rsidR="00AE62A4" w:rsidRPr="00FA014E" w14:paraId="2FEA0BB0" w14:textId="77777777" w:rsidTr="00C93C71">
        <w:tc>
          <w:tcPr>
            <w:tcW w:w="1090" w:type="pct"/>
            <w:tcBorders>
              <w:top w:val="nil"/>
              <w:left w:val="nil"/>
              <w:bottom w:val="nil"/>
              <w:right w:val="nil"/>
            </w:tcBorders>
          </w:tcPr>
          <w:p w14:paraId="4BFCD3C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3D55E5B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(0.0182)</w:t>
            </w:r>
          </w:p>
        </w:tc>
        <w:tc>
          <w:tcPr>
            <w:tcW w:w="679" w:type="pct"/>
            <w:tcBorders>
              <w:top w:val="nil"/>
              <w:left w:val="nil"/>
              <w:bottom w:val="nil"/>
              <w:right w:val="nil"/>
            </w:tcBorders>
          </w:tcPr>
          <w:p w14:paraId="2359941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(0.0206)</w:t>
            </w:r>
          </w:p>
        </w:tc>
        <w:tc>
          <w:tcPr>
            <w:tcW w:w="638" w:type="pct"/>
            <w:tcBorders>
              <w:top w:val="nil"/>
              <w:left w:val="nil"/>
              <w:bottom w:val="nil"/>
              <w:right w:val="nil"/>
            </w:tcBorders>
          </w:tcPr>
          <w:p w14:paraId="3E91FEB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(0.0206)</w:t>
            </w:r>
          </w:p>
        </w:tc>
        <w:tc>
          <w:tcPr>
            <w:tcW w:w="679" w:type="pct"/>
            <w:tcBorders>
              <w:top w:val="nil"/>
              <w:left w:val="nil"/>
              <w:bottom w:val="nil"/>
              <w:right w:val="nil"/>
            </w:tcBorders>
          </w:tcPr>
          <w:p w14:paraId="01E537E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(0.0206)</w:t>
            </w:r>
          </w:p>
        </w:tc>
        <w:tc>
          <w:tcPr>
            <w:tcW w:w="617" w:type="pct"/>
            <w:tcBorders>
              <w:top w:val="nil"/>
              <w:left w:val="nil"/>
              <w:bottom w:val="nil"/>
              <w:right w:val="nil"/>
            </w:tcBorders>
          </w:tcPr>
          <w:p w14:paraId="519D693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(0.0207)</w:t>
            </w:r>
          </w:p>
        </w:tc>
        <w:tc>
          <w:tcPr>
            <w:tcW w:w="679" w:type="pct"/>
            <w:tcBorders>
              <w:top w:val="nil"/>
              <w:left w:val="nil"/>
              <w:bottom w:val="nil"/>
              <w:right w:val="nil"/>
            </w:tcBorders>
          </w:tcPr>
          <w:p w14:paraId="1EDA187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(0.0203)</w:t>
            </w:r>
          </w:p>
        </w:tc>
      </w:tr>
      <w:tr w:rsidR="00AE62A4" w:rsidRPr="00FA014E" w14:paraId="174DE894" w14:textId="77777777" w:rsidTr="00C93C71">
        <w:tc>
          <w:tcPr>
            <w:tcW w:w="1090" w:type="pct"/>
            <w:tcBorders>
              <w:top w:val="nil"/>
              <w:left w:val="nil"/>
              <w:bottom w:val="nil"/>
              <w:right w:val="nil"/>
            </w:tcBorders>
          </w:tcPr>
          <w:p w14:paraId="40CF331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67E785C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38049C6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23F2001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15F9CA1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2ACBCC5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676B37F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321567B1" w14:textId="77777777" w:rsidTr="00C93C71">
        <w:tc>
          <w:tcPr>
            <w:tcW w:w="1090" w:type="pct"/>
            <w:tcBorders>
              <w:top w:val="nil"/>
              <w:left w:val="nil"/>
              <w:bottom w:val="nil"/>
              <w:right w:val="nil"/>
            </w:tcBorders>
          </w:tcPr>
          <w:p w14:paraId="22E028F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openness</w:t>
            </w:r>
          </w:p>
        </w:tc>
        <w:tc>
          <w:tcPr>
            <w:tcW w:w="617" w:type="pct"/>
            <w:tcBorders>
              <w:top w:val="nil"/>
              <w:left w:val="nil"/>
              <w:bottom w:val="nil"/>
              <w:right w:val="nil"/>
            </w:tcBorders>
          </w:tcPr>
          <w:p w14:paraId="0C8F81B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-0.0118**</w:t>
            </w:r>
          </w:p>
        </w:tc>
        <w:tc>
          <w:tcPr>
            <w:tcW w:w="679" w:type="pct"/>
            <w:tcBorders>
              <w:top w:val="nil"/>
              <w:left w:val="nil"/>
              <w:bottom w:val="nil"/>
              <w:right w:val="nil"/>
            </w:tcBorders>
          </w:tcPr>
          <w:p w14:paraId="78700CF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-0.0118**</w:t>
            </w:r>
          </w:p>
        </w:tc>
        <w:tc>
          <w:tcPr>
            <w:tcW w:w="638" w:type="pct"/>
            <w:tcBorders>
              <w:top w:val="nil"/>
              <w:left w:val="nil"/>
              <w:bottom w:val="nil"/>
              <w:right w:val="nil"/>
            </w:tcBorders>
          </w:tcPr>
          <w:p w14:paraId="7DAF38F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-0.0135**</w:t>
            </w:r>
          </w:p>
        </w:tc>
        <w:tc>
          <w:tcPr>
            <w:tcW w:w="679" w:type="pct"/>
            <w:tcBorders>
              <w:top w:val="nil"/>
              <w:left w:val="nil"/>
              <w:bottom w:val="nil"/>
              <w:right w:val="nil"/>
            </w:tcBorders>
          </w:tcPr>
          <w:p w14:paraId="462A8ED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-0.0127**</w:t>
            </w:r>
          </w:p>
        </w:tc>
        <w:tc>
          <w:tcPr>
            <w:tcW w:w="617" w:type="pct"/>
            <w:tcBorders>
              <w:top w:val="nil"/>
              <w:left w:val="nil"/>
              <w:bottom w:val="nil"/>
              <w:right w:val="nil"/>
            </w:tcBorders>
          </w:tcPr>
          <w:p w14:paraId="69B69FD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-0.0125**</w:t>
            </w:r>
          </w:p>
        </w:tc>
        <w:tc>
          <w:tcPr>
            <w:tcW w:w="679" w:type="pct"/>
            <w:tcBorders>
              <w:top w:val="nil"/>
              <w:left w:val="nil"/>
              <w:bottom w:val="nil"/>
              <w:right w:val="nil"/>
            </w:tcBorders>
          </w:tcPr>
          <w:p w14:paraId="1E1F4E8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-0.0152**</w:t>
            </w:r>
          </w:p>
        </w:tc>
      </w:tr>
      <w:tr w:rsidR="00AE62A4" w:rsidRPr="00FA014E" w14:paraId="77FCEFD3" w14:textId="77777777" w:rsidTr="00C93C71">
        <w:tc>
          <w:tcPr>
            <w:tcW w:w="1090" w:type="pct"/>
            <w:tcBorders>
              <w:top w:val="nil"/>
              <w:left w:val="nil"/>
              <w:bottom w:val="nil"/>
              <w:right w:val="nil"/>
            </w:tcBorders>
          </w:tcPr>
          <w:p w14:paraId="7A37BD6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476AED6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(0.00407)</w:t>
            </w:r>
          </w:p>
        </w:tc>
        <w:tc>
          <w:tcPr>
            <w:tcW w:w="679" w:type="pct"/>
            <w:tcBorders>
              <w:top w:val="nil"/>
              <w:left w:val="nil"/>
              <w:bottom w:val="nil"/>
              <w:right w:val="nil"/>
            </w:tcBorders>
          </w:tcPr>
          <w:p w14:paraId="6C22EE3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(0.00469)</w:t>
            </w:r>
          </w:p>
        </w:tc>
        <w:tc>
          <w:tcPr>
            <w:tcW w:w="638" w:type="pct"/>
            <w:tcBorders>
              <w:top w:val="nil"/>
              <w:left w:val="nil"/>
              <w:bottom w:val="nil"/>
              <w:right w:val="nil"/>
            </w:tcBorders>
          </w:tcPr>
          <w:p w14:paraId="1319DE1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(0.00471)</w:t>
            </w:r>
          </w:p>
        </w:tc>
        <w:tc>
          <w:tcPr>
            <w:tcW w:w="679" w:type="pct"/>
            <w:tcBorders>
              <w:top w:val="nil"/>
              <w:left w:val="nil"/>
              <w:bottom w:val="nil"/>
              <w:right w:val="nil"/>
            </w:tcBorders>
          </w:tcPr>
          <w:p w14:paraId="6269189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(0.00469)</w:t>
            </w:r>
          </w:p>
        </w:tc>
        <w:tc>
          <w:tcPr>
            <w:tcW w:w="617" w:type="pct"/>
            <w:tcBorders>
              <w:top w:val="nil"/>
              <w:left w:val="nil"/>
              <w:bottom w:val="nil"/>
              <w:right w:val="nil"/>
            </w:tcBorders>
          </w:tcPr>
          <w:p w14:paraId="74E1B16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(0.00474)</w:t>
            </w:r>
          </w:p>
        </w:tc>
        <w:tc>
          <w:tcPr>
            <w:tcW w:w="679" w:type="pct"/>
            <w:tcBorders>
              <w:top w:val="nil"/>
              <w:left w:val="nil"/>
              <w:bottom w:val="nil"/>
              <w:right w:val="nil"/>
            </w:tcBorders>
          </w:tcPr>
          <w:p w14:paraId="115F6DA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(0.00471)</w:t>
            </w:r>
          </w:p>
        </w:tc>
      </w:tr>
      <w:tr w:rsidR="00AE62A4" w:rsidRPr="00FA014E" w14:paraId="3DE2AD5C" w14:textId="77777777" w:rsidTr="00C93C71">
        <w:tc>
          <w:tcPr>
            <w:tcW w:w="1090" w:type="pct"/>
            <w:tcBorders>
              <w:top w:val="nil"/>
              <w:left w:val="nil"/>
              <w:bottom w:val="nil"/>
              <w:right w:val="nil"/>
            </w:tcBorders>
          </w:tcPr>
          <w:p w14:paraId="3D8956E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58D6DED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4630980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51462DC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0C56D2D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79E3F1CC"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38C021E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32BBDEF9" w14:textId="77777777" w:rsidTr="00C93C71">
        <w:tc>
          <w:tcPr>
            <w:tcW w:w="1090" w:type="pct"/>
            <w:tcBorders>
              <w:top w:val="nil"/>
              <w:left w:val="nil"/>
              <w:bottom w:val="nil"/>
              <w:right w:val="nil"/>
            </w:tcBorders>
          </w:tcPr>
          <w:p w14:paraId="3C216C9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FA014E">
              <w:rPr>
                <w:rFonts w:ascii="Times New Roman" w:eastAsiaTheme="minorEastAsia" w:hAnsi="Times New Roman" w:cs="Times New Roman"/>
                <w:sz w:val="20"/>
                <w:szCs w:val="20"/>
              </w:rPr>
              <w:t>schoolage</w:t>
            </w:r>
            <w:proofErr w:type="spellEnd"/>
          </w:p>
        </w:tc>
        <w:tc>
          <w:tcPr>
            <w:tcW w:w="617" w:type="pct"/>
            <w:tcBorders>
              <w:top w:val="nil"/>
              <w:left w:val="nil"/>
              <w:bottom w:val="nil"/>
              <w:right w:val="nil"/>
            </w:tcBorders>
          </w:tcPr>
          <w:p w14:paraId="6950230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0.0120</w:t>
            </w:r>
          </w:p>
        </w:tc>
        <w:tc>
          <w:tcPr>
            <w:tcW w:w="679" w:type="pct"/>
            <w:tcBorders>
              <w:top w:val="nil"/>
              <w:left w:val="nil"/>
              <w:bottom w:val="nil"/>
              <w:right w:val="nil"/>
            </w:tcBorders>
          </w:tcPr>
          <w:p w14:paraId="425D215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0.0138</w:t>
            </w:r>
          </w:p>
        </w:tc>
        <w:tc>
          <w:tcPr>
            <w:tcW w:w="638" w:type="pct"/>
            <w:tcBorders>
              <w:top w:val="nil"/>
              <w:left w:val="nil"/>
              <w:bottom w:val="nil"/>
              <w:right w:val="nil"/>
            </w:tcBorders>
          </w:tcPr>
          <w:p w14:paraId="09D4868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0.0136</w:t>
            </w:r>
          </w:p>
        </w:tc>
        <w:tc>
          <w:tcPr>
            <w:tcW w:w="679" w:type="pct"/>
            <w:tcBorders>
              <w:top w:val="nil"/>
              <w:left w:val="nil"/>
              <w:bottom w:val="nil"/>
              <w:right w:val="nil"/>
            </w:tcBorders>
          </w:tcPr>
          <w:p w14:paraId="3939E247"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0.0126</w:t>
            </w:r>
          </w:p>
        </w:tc>
        <w:tc>
          <w:tcPr>
            <w:tcW w:w="617" w:type="pct"/>
            <w:tcBorders>
              <w:top w:val="nil"/>
              <w:left w:val="nil"/>
              <w:bottom w:val="nil"/>
              <w:right w:val="nil"/>
            </w:tcBorders>
          </w:tcPr>
          <w:p w14:paraId="7CAA939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0.0159</w:t>
            </w:r>
          </w:p>
        </w:tc>
        <w:tc>
          <w:tcPr>
            <w:tcW w:w="679" w:type="pct"/>
            <w:tcBorders>
              <w:top w:val="nil"/>
              <w:left w:val="nil"/>
              <w:bottom w:val="nil"/>
              <w:right w:val="nil"/>
            </w:tcBorders>
          </w:tcPr>
          <w:p w14:paraId="36ECBA82"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0.0188</w:t>
            </w:r>
          </w:p>
        </w:tc>
      </w:tr>
      <w:tr w:rsidR="00AE62A4" w:rsidRPr="00FA014E" w14:paraId="464BBEEE" w14:textId="77777777" w:rsidTr="00C93C71">
        <w:tc>
          <w:tcPr>
            <w:tcW w:w="1090" w:type="pct"/>
            <w:tcBorders>
              <w:top w:val="nil"/>
              <w:left w:val="nil"/>
              <w:bottom w:val="nil"/>
              <w:right w:val="nil"/>
            </w:tcBorders>
          </w:tcPr>
          <w:p w14:paraId="6C65D6D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19EEDA0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(0.0127)</w:t>
            </w:r>
          </w:p>
        </w:tc>
        <w:tc>
          <w:tcPr>
            <w:tcW w:w="679" w:type="pct"/>
            <w:tcBorders>
              <w:top w:val="nil"/>
              <w:left w:val="nil"/>
              <w:bottom w:val="nil"/>
              <w:right w:val="nil"/>
            </w:tcBorders>
          </w:tcPr>
          <w:p w14:paraId="7B2F311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(0.0137)</w:t>
            </w:r>
          </w:p>
        </w:tc>
        <w:tc>
          <w:tcPr>
            <w:tcW w:w="638" w:type="pct"/>
            <w:tcBorders>
              <w:top w:val="nil"/>
              <w:left w:val="nil"/>
              <w:bottom w:val="nil"/>
              <w:right w:val="nil"/>
            </w:tcBorders>
          </w:tcPr>
          <w:p w14:paraId="5C7BCE9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(0.0136)</w:t>
            </w:r>
          </w:p>
        </w:tc>
        <w:tc>
          <w:tcPr>
            <w:tcW w:w="679" w:type="pct"/>
            <w:tcBorders>
              <w:top w:val="nil"/>
              <w:left w:val="nil"/>
              <w:bottom w:val="nil"/>
              <w:right w:val="nil"/>
            </w:tcBorders>
          </w:tcPr>
          <w:p w14:paraId="14B18BBE"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(0.0136)</w:t>
            </w:r>
          </w:p>
        </w:tc>
        <w:tc>
          <w:tcPr>
            <w:tcW w:w="617" w:type="pct"/>
            <w:tcBorders>
              <w:top w:val="nil"/>
              <w:left w:val="nil"/>
              <w:bottom w:val="nil"/>
              <w:right w:val="nil"/>
            </w:tcBorders>
          </w:tcPr>
          <w:p w14:paraId="7A4AA86D"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(0.0137)</w:t>
            </w:r>
          </w:p>
        </w:tc>
        <w:tc>
          <w:tcPr>
            <w:tcW w:w="679" w:type="pct"/>
            <w:tcBorders>
              <w:top w:val="nil"/>
              <w:left w:val="nil"/>
              <w:bottom w:val="nil"/>
              <w:right w:val="nil"/>
            </w:tcBorders>
          </w:tcPr>
          <w:p w14:paraId="1D2C447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(0.0135)</w:t>
            </w:r>
          </w:p>
        </w:tc>
      </w:tr>
      <w:tr w:rsidR="00AE62A4" w:rsidRPr="00FA014E" w14:paraId="0B34A6C2" w14:textId="77777777" w:rsidTr="00C93C71">
        <w:tc>
          <w:tcPr>
            <w:tcW w:w="1090" w:type="pct"/>
            <w:tcBorders>
              <w:top w:val="nil"/>
              <w:left w:val="nil"/>
              <w:bottom w:val="nil"/>
              <w:right w:val="nil"/>
            </w:tcBorders>
          </w:tcPr>
          <w:p w14:paraId="62E89CA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10CEBDF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665A538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38" w:type="pct"/>
            <w:tcBorders>
              <w:top w:val="nil"/>
              <w:left w:val="nil"/>
              <w:bottom w:val="nil"/>
              <w:right w:val="nil"/>
            </w:tcBorders>
          </w:tcPr>
          <w:p w14:paraId="3243D8C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6FE04FF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17" w:type="pct"/>
            <w:tcBorders>
              <w:top w:val="nil"/>
              <w:left w:val="nil"/>
              <w:bottom w:val="nil"/>
              <w:right w:val="nil"/>
            </w:tcBorders>
          </w:tcPr>
          <w:p w14:paraId="0B68925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679" w:type="pct"/>
            <w:tcBorders>
              <w:top w:val="nil"/>
              <w:left w:val="nil"/>
              <w:bottom w:val="nil"/>
              <w:right w:val="nil"/>
            </w:tcBorders>
          </w:tcPr>
          <w:p w14:paraId="45C3FFA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FA014E" w14:paraId="511D5157" w14:textId="77777777" w:rsidTr="00C93C71">
        <w:tc>
          <w:tcPr>
            <w:tcW w:w="1090" w:type="pct"/>
            <w:tcBorders>
              <w:top w:val="single" w:sz="4" w:space="0" w:color="auto"/>
              <w:left w:val="nil"/>
              <w:bottom w:val="nil"/>
              <w:right w:val="nil"/>
            </w:tcBorders>
          </w:tcPr>
          <w:p w14:paraId="7DEE0D3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Observations</w:t>
            </w:r>
          </w:p>
        </w:tc>
        <w:tc>
          <w:tcPr>
            <w:tcW w:w="617" w:type="pct"/>
            <w:tcBorders>
              <w:top w:val="single" w:sz="4" w:space="0" w:color="auto"/>
              <w:left w:val="nil"/>
              <w:bottom w:val="nil"/>
              <w:right w:val="nil"/>
            </w:tcBorders>
          </w:tcPr>
          <w:p w14:paraId="307D94F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524</w:t>
            </w:r>
          </w:p>
        </w:tc>
        <w:tc>
          <w:tcPr>
            <w:tcW w:w="679" w:type="pct"/>
            <w:tcBorders>
              <w:top w:val="single" w:sz="4" w:space="0" w:color="auto"/>
              <w:left w:val="nil"/>
              <w:bottom w:val="nil"/>
              <w:right w:val="nil"/>
            </w:tcBorders>
          </w:tcPr>
          <w:p w14:paraId="5CC8214A"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434</w:t>
            </w:r>
          </w:p>
        </w:tc>
        <w:tc>
          <w:tcPr>
            <w:tcW w:w="638" w:type="pct"/>
            <w:tcBorders>
              <w:top w:val="single" w:sz="4" w:space="0" w:color="auto"/>
              <w:left w:val="nil"/>
              <w:bottom w:val="nil"/>
              <w:right w:val="nil"/>
            </w:tcBorders>
          </w:tcPr>
          <w:p w14:paraId="04B20D1F"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434</w:t>
            </w:r>
          </w:p>
        </w:tc>
        <w:tc>
          <w:tcPr>
            <w:tcW w:w="679" w:type="pct"/>
            <w:tcBorders>
              <w:top w:val="single" w:sz="4" w:space="0" w:color="auto"/>
              <w:left w:val="nil"/>
              <w:bottom w:val="nil"/>
              <w:right w:val="nil"/>
            </w:tcBorders>
          </w:tcPr>
          <w:p w14:paraId="3DAE0DB1"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432</w:t>
            </w:r>
          </w:p>
        </w:tc>
        <w:tc>
          <w:tcPr>
            <w:tcW w:w="617" w:type="pct"/>
            <w:tcBorders>
              <w:top w:val="single" w:sz="4" w:space="0" w:color="auto"/>
              <w:left w:val="nil"/>
              <w:bottom w:val="nil"/>
              <w:right w:val="nil"/>
            </w:tcBorders>
          </w:tcPr>
          <w:p w14:paraId="59501850"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434</w:t>
            </w:r>
          </w:p>
        </w:tc>
        <w:tc>
          <w:tcPr>
            <w:tcW w:w="679" w:type="pct"/>
            <w:tcBorders>
              <w:top w:val="single" w:sz="4" w:space="0" w:color="auto"/>
              <w:left w:val="nil"/>
              <w:bottom w:val="nil"/>
              <w:right w:val="nil"/>
            </w:tcBorders>
          </w:tcPr>
          <w:p w14:paraId="70C1AD2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434</w:t>
            </w:r>
          </w:p>
        </w:tc>
      </w:tr>
      <w:tr w:rsidR="00AE62A4" w:rsidRPr="00FA014E" w14:paraId="15BB1CF5" w14:textId="77777777" w:rsidTr="00C93C71">
        <w:tc>
          <w:tcPr>
            <w:tcW w:w="1090" w:type="pct"/>
            <w:tcBorders>
              <w:top w:val="nil"/>
              <w:left w:val="nil"/>
              <w:bottom w:val="single" w:sz="4" w:space="0" w:color="auto"/>
              <w:right w:val="nil"/>
            </w:tcBorders>
          </w:tcPr>
          <w:p w14:paraId="6CC66738"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i/>
                <w:iCs/>
                <w:sz w:val="20"/>
                <w:szCs w:val="20"/>
              </w:rPr>
              <w:t>R</w:t>
            </w:r>
            <w:r w:rsidRPr="00FA014E">
              <w:rPr>
                <w:rFonts w:ascii="Times New Roman" w:eastAsiaTheme="minorEastAsia" w:hAnsi="Times New Roman" w:cs="Times New Roman"/>
                <w:sz w:val="20"/>
                <w:szCs w:val="20"/>
                <w:vertAlign w:val="superscript"/>
              </w:rPr>
              <w:t>2</w:t>
            </w:r>
          </w:p>
        </w:tc>
        <w:tc>
          <w:tcPr>
            <w:tcW w:w="617" w:type="pct"/>
            <w:tcBorders>
              <w:top w:val="nil"/>
              <w:left w:val="nil"/>
              <w:bottom w:val="single" w:sz="4" w:space="0" w:color="auto"/>
              <w:right w:val="nil"/>
            </w:tcBorders>
          </w:tcPr>
          <w:p w14:paraId="1272CFC6"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0.203</w:t>
            </w:r>
          </w:p>
        </w:tc>
        <w:tc>
          <w:tcPr>
            <w:tcW w:w="679" w:type="pct"/>
            <w:tcBorders>
              <w:top w:val="nil"/>
              <w:left w:val="nil"/>
              <w:bottom w:val="single" w:sz="4" w:space="0" w:color="auto"/>
              <w:right w:val="nil"/>
            </w:tcBorders>
          </w:tcPr>
          <w:p w14:paraId="59999F4B"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0.233</w:t>
            </w:r>
          </w:p>
        </w:tc>
        <w:tc>
          <w:tcPr>
            <w:tcW w:w="638" w:type="pct"/>
            <w:tcBorders>
              <w:top w:val="nil"/>
              <w:left w:val="nil"/>
              <w:bottom w:val="single" w:sz="4" w:space="0" w:color="auto"/>
              <w:right w:val="nil"/>
            </w:tcBorders>
          </w:tcPr>
          <w:p w14:paraId="7580DB3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0.233</w:t>
            </w:r>
          </w:p>
        </w:tc>
        <w:tc>
          <w:tcPr>
            <w:tcW w:w="679" w:type="pct"/>
            <w:tcBorders>
              <w:top w:val="nil"/>
              <w:left w:val="nil"/>
              <w:bottom w:val="single" w:sz="4" w:space="0" w:color="auto"/>
              <w:right w:val="nil"/>
            </w:tcBorders>
          </w:tcPr>
          <w:p w14:paraId="6B666DB9"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0.238</w:t>
            </w:r>
          </w:p>
        </w:tc>
        <w:tc>
          <w:tcPr>
            <w:tcW w:w="617" w:type="pct"/>
            <w:tcBorders>
              <w:top w:val="nil"/>
              <w:left w:val="nil"/>
              <w:bottom w:val="single" w:sz="4" w:space="0" w:color="auto"/>
              <w:right w:val="nil"/>
            </w:tcBorders>
          </w:tcPr>
          <w:p w14:paraId="538C3A95"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0.220</w:t>
            </w:r>
          </w:p>
        </w:tc>
        <w:tc>
          <w:tcPr>
            <w:tcW w:w="679" w:type="pct"/>
            <w:tcBorders>
              <w:top w:val="nil"/>
              <w:left w:val="nil"/>
              <w:bottom w:val="single" w:sz="4" w:space="0" w:color="auto"/>
              <w:right w:val="nil"/>
            </w:tcBorders>
          </w:tcPr>
          <w:p w14:paraId="45B04104" w14:textId="77777777" w:rsidR="00AE62A4" w:rsidRPr="00FA014E"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FA014E">
              <w:rPr>
                <w:rFonts w:ascii="Times New Roman" w:eastAsiaTheme="minorEastAsia" w:hAnsi="Times New Roman" w:cs="Times New Roman"/>
                <w:sz w:val="20"/>
                <w:szCs w:val="20"/>
              </w:rPr>
              <w:t>0.248</w:t>
            </w:r>
          </w:p>
        </w:tc>
      </w:tr>
    </w:tbl>
    <w:p w14:paraId="44CAA630" w14:textId="77777777" w:rsidR="00AE62A4" w:rsidRDefault="00AE62A4" w:rsidP="00686C7B">
      <w:pPr>
        <w:spacing w:after="0" w:line="240" w:lineRule="auto"/>
        <w:ind w:firstLine="720"/>
        <w:rPr>
          <w:rFonts w:ascii="Times New Roman" w:eastAsiaTheme="minorEastAsia" w:hAnsi="Times New Roman" w:cs="Times New Roman"/>
          <w:i/>
          <w:sz w:val="16"/>
          <w:szCs w:val="16"/>
        </w:rPr>
        <w:sectPr w:rsidR="00AE62A4" w:rsidSect="00AE62A4">
          <w:pgSz w:w="15840" w:h="12240" w:orient="landscape"/>
          <w:pgMar w:top="1440" w:right="1800" w:bottom="2160" w:left="1440" w:header="720" w:footer="720" w:gutter="0"/>
          <w:cols w:space="720"/>
          <w:noEndnote/>
        </w:sectPr>
      </w:pPr>
      <w:r w:rsidRPr="00774092">
        <w:rPr>
          <w:rFonts w:ascii="Times New Roman" w:eastAsiaTheme="minorEastAsia" w:hAnsi="Times New Roman" w:cs="Times New Roman"/>
          <w:i/>
          <w:sz w:val="16"/>
          <w:szCs w:val="16"/>
        </w:rPr>
        <w:t>Note:</w:t>
      </w:r>
      <w:r w:rsidRPr="00774092">
        <w:rPr>
          <w:rFonts w:eastAsiaTheme="minorEastAsia"/>
          <w:sz w:val="16"/>
          <w:szCs w:val="16"/>
        </w:rPr>
        <w:t xml:space="preserve"> </w:t>
      </w:r>
      <w:r w:rsidRPr="00774092">
        <w:rPr>
          <w:rFonts w:ascii="Times New Roman" w:eastAsiaTheme="minorEastAsia" w:hAnsi="Times New Roman" w:cs="Times New Roman"/>
          <w:i/>
          <w:sz w:val="16"/>
          <w:szCs w:val="16"/>
        </w:rPr>
        <w:t>Public education spending is the dependent variable. Fixed effects model is used in all estimations. Point estimates are reported.  Standard errors are shown in parentheses. * Significant at 10%; ** significant at 5%. All regressions include a constant term and year fixed effects (not reported).</w:t>
      </w:r>
    </w:p>
    <w:p w14:paraId="06C11756" w14:textId="77777777" w:rsidR="00AE62A4" w:rsidRPr="00686C7B" w:rsidRDefault="00AE62A4" w:rsidP="00AE62A4">
      <w:pPr>
        <w:keepNext/>
        <w:widowControl w:val="0"/>
        <w:autoSpaceDE w:val="0"/>
        <w:autoSpaceDN w:val="0"/>
        <w:adjustRightInd w:val="0"/>
        <w:spacing w:after="0" w:line="240" w:lineRule="auto"/>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lastRenderedPageBreak/>
        <w:t xml:space="preserve">Table 6 Regression Results with Governance Indicators – Middle Income Countries </w:t>
      </w:r>
      <w:r w:rsidRPr="00686C7B">
        <w:rPr>
          <w:rFonts w:ascii="Times New Roman" w:eastAsiaTheme="minorEastAsia" w:hAnsi="Times New Roman" w:cs="Times New Roman"/>
          <w:sz w:val="20"/>
          <w:szCs w:val="20"/>
        </w:rPr>
        <w:tab/>
      </w:r>
    </w:p>
    <w:tbl>
      <w:tblPr>
        <w:tblW w:w="5000" w:type="pct"/>
        <w:tblLook w:val="0000" w:firstRow="0" w:lastRow="0" w:firstColumn="0" w:lastColumn="0" w:noHBand="0" w:noVBand="0"/>
      </w:tblPr>
      <w:tblGrid>
        <w:gridCol w:w="3191"/>
        <w:gridCol w:w="1807"/>
        <w:gridCol w:w="1989"/>
        <w:gridCol w:w="1869"/>
      </w:tblGrid>
      <w:tr w:rsidR="00AE62A4" w:rsidRPr="003F62F7" w14:paraId="4976D6CB" w14:textId="77777777" w:rsidTr="00C93C71">
        <w:tc>
          <w:tcPr>
            <w:tcW w:w="1802" w:type="pct"/>
            <w:tcBorders>
              <w:top w:val="single" w:sz="4" w:space="0" w:color="auto"/>
              <w:left w:val="nil"/>
              <w:bottom w:val="nil"/>
              <w:right w:val="nil"/>
            </w:tcBorders>
          </w:tcPr>
          <w:p w14:paraId="38A8F65D" w14:textId="77777777" w:rsidR="00AE62A4" w:rsidRPr="003F62F7" w:rsidRDefault="00AE62A4" w:rsidP="00C93C71">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020" w:type="pct"/>
            <w:tcBorders>
              <w:top w:val="single" w:sz="4" w:space="0" w:color="auto"/>
              <w:left w:val="nil"/>
              <w:bottom w:val="nil"/>
              <w:right w:val="nil"/>
            </w:tcBorders>
          </w:tcPr>
          <w:p w14:paraId="4500297F"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(1)</w:t>
            </w:r>
          </w:p>
        </w:tc>
        <w:tc>
          <w:tcPr>
            <w:tcW w:w="1123" w:type="pct"/>
            <w:tcBorders>
              <w:top w:val="single" w:sz="4" w:space="0" w:color="auto"/>
              <w:left w:val="nil"/>
              <w:bottom w:val="nil"/>
              <w:right w:val="nil"/>
            </w:tcBorders>
          </w:tcPr>
          <w:p w14:paraId="3244D39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(2)</w:t>
            </w:r>
          </w:p>
        </w:tc>
        <w:tc>
          <w:tcPr>
            <w:tcW w:w="1055" w:type="pct"/>
            <w:tcBorders>
              <w:top w:val="single" w:sz="4" w:space="0" w:color="auto"/>
              <w:left w:val="nil"/>
              <w:bottom w:val="nil"/>
              <w:right w:val="nil"/>
            </w:tcBorders>
          </w:tcPr>
          <w:p w14:paraId="157520C5"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(3)</w:t>
            </w:r>
          </w:p>
        </w:tc>
      </w:tr>
      <w:tr w:rsidR="00AE62A4" w:rsidRPr="003F62F7" w14:paraId="6A8E6AC1" w14:textId="77777777" w:rsidTr="00C93C71">
        <w:tc>
          <w:tcPr>
            <w:tcW w:w="1802" w:type="pct"/>
            <w:tcBorders>
              <w:top w:val="nil"/>
              <w:left w:val="nil"/>
              <w:bottom w:val="nil"/>
              <w:right w:val="nil"/>
            </w:tcBorders>
          </w:tcPr>
          <w:p w14:paraId="6F1B108C" w14:textId="77777777" w:rsidR="00AE62A4" w:rsidRPr="003F62F7" w:rsidRDefault="00AE62A4" w:rsidP="00C93C71">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1020" w:type="pct"/>
            <w:tcBorders>
              <w:top w:val="nil"/>
              <w:left w:val="nil"/>
              <w:bottom w:val="nil"/>
              <w:right w:val="nil"/>
            </w:tcBorders>
          </w:tcPr>
          <w:p w14:paraId="7C56ACCA"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3F62F7">
              <w:rPr>
                <w:rFonts w:ascii="Times New Roman" w:eastAsiaTheme="minorEastAsia" w:hAnsi="Times New Roman" w:cs="Times New Roman"/>
                <w:sz w:val="20"/>
                <w:szCs w:val="20"/>
              </w:rPr>
              <w:t>pubedu</w:t>
            </w:r>
            <w:proofErr w:type="spellEnd"/>
          </w:p>
        </w:tc>
        <w:tc>
          <w:tcPr>
            <w:tcW w:w="1123" w:type="pct"/>
            <w:tcBorders>
              <w:top w:val="nil"/>
              <w:left w:val="nil"/>
              <w:bottom w:val="nil"/>
              <w:right w:val="nil"/>
            </w:tcBorders>
          </w:tcPr>
          <w:p w14:paraId="242FAACF"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3F62F7">
              <w:rPr>
                <w:rFonts w:ascii="Times New Roman" w:eastAsiaTheme="minorEastAsia" w:hAnsi="Times New Roman" w:cs="Times New Roman"/>
                <w:sz w:val="20"/>
                <w:szCs w:val="20"/>
              </w:rPr>
              <w:t>pubedu</w:t>
            </w:r>
            <w:proofErr w:type="spellEnd"/>
          </w:p>
        </w:tc>
        <w:tc>
          <w:tcPr>
            <w:tcW w:w="1055" w:type="pct"/>
            <w:tcBorders>
              <w:top w:val="nil"/>
              <w:left w:val="nil"/>
              <w:bottom w:val="nil"/>
              <w:right w:val="nil"/>
            </w:tcBorders>
          </w:tcPr>
          <w:p w14:paraId="53B8908E"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3F62F7">
              <w:rPr>
                <w:rFonts w:ascii="Times New Roman" w:eastAsiaTheme="minorEastAsia" w:hAnsi="Times New Roman" w:cs="Times New Roman"/>
                <w:sz w:val="20"/>
                <w:szCs w:val="20"/>
              </w:rPr>
              <w:t>pubedu</w:t>
            </w:r>
            <w:proofErr w:type="spellEnd"/>
          </w:p>
        </w:tc>
      </w:tr>
      <w:tr w:rsidR="00AE62A4" w:rsidRPr="003F62F7" w14:paraId="380FC03E" w14:textId="77777777" w:rsidTr="00C93C71">
        <w:tc>
          <w:tcPr>
            <w:tcW w:w="1802" w:type="pct"/>
            <w:tcBorders>
              <w:top w:val="single" w:sz="4" w:space="0" w:color="auto"/>
              <w:left w:val="nil"/>
              <w:bottom w:val="nil"/>
              <w:right w:val="nil"/>
            </w:tcBorders>
          </w:tcPr>
          <w:p w14:paraId="74A25FC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3F62F7">
              <w:rPr>
                <w:rFonts w:ascii="Times New Roman" w:eastAsiaTheme="minorEastAsia" w:hAnsi="Times New Roman" w:cs="Times New Roman"/>
                <w:sz w:val="20"/>
                <w:szCs w:val="20"/>
              </w:rPr>
              <w:t>resourcerent</w:t>
            </w:r>
            <w:proofErr w:type="spellEnd"/>
          </w:p>
        </w:tc>
        <w:tc>
          <w:tcPr>
            <w:tcW w:w="1020" w:type="pct"/>
            <w:tcBorders>
              <w:top w:val="single" w:sz="4" w:space="0" w:color="auto"/>
              <w:left w:val="nil"/>
              <w:bottom w:val="nil"/>
              <w:right w:val="nil"/>
            </w:tcBorders>
          </w:tcPr>
          <w:p w14:paraId="1441443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-0.0162*</w:t>
            </w:r>
          </w:p>
        </w:tc>
        <w:tc>
          <w:tcPr>
            <w:tcW w:w="1123" w:type="pct"/>
            <w:tcBorders>
              <w:top w:val="single" w:sz="4" w:space="0" w:color="auto"/>
              <w:left w:val="nil"/>
              <w:bottom w:val="nil"/>
              <w:right w:val="nil"/>
            </w:tcBorders>
          </w:tcPr>
          <w:p w14:paraId="26E1B8AF"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-0.0276**</w:t>
            </w:r>
          </w:p>
        </w:tc>
        <w:tc>
          <w:tcPr>
            <w:tcW w:w="1055" w:type="pct"/>
            <w:tcBorders>
              <w:top w:val="single" w:sz="4" w:space="0" w:color="auto"/>
              <w:left w:val="nil"/>
              <w:bottom w:val="nil"/>
              <w:right w:val="nil"/>
            </w:tcBorders>
          </w:tcPr>
          <w:p w14:paraId="3C76E3D9"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-0.0349**</w:t>
            </w:r>
          </w:p>
        </w:tc>
      </w:tr>
      <w:tr w:rsidR="00AE62A4" w:rsidRPr="003F62F7" w14:paraId="699855FF" w14:textId="77777777" w:rsidTr="00C93C71">
        <w:tc>
          <w:tcPr>
            <w:tcW w:w="1802" w:type="pct"/>
            <w:tcBorders>
              <w:top w:val="nil"/>
              <w:left w:val="nil"/>
              <w:bottom w:val="nil"/>
              <w:right w:val="nil"/>
            </w:tcBorders>
          </w:tcPr>
          <w:p w14:paraId="4F4EDE25"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1FAD003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(0.00913)</w:t>
            </w:r>
          </w:p>
        </w:tc>
        <w:tc>
          <w:tcPr>
            <w:tcW w:w="1123" w:type="pct"/>
            <w:tcBorders>
              <w:top w:val="nil"/>
              <w:left w:val="nil"/>
              <w:bottom w:val="nil"/>
              <w:right w:val="nil"/>
            </w:tcBorders>
          </w:tcPr>
          <w:p w14:paraId="4AED2DF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(0.0129)</w:t>
            </w:r>
          </w:p>
        </w:tc>
        <w:tc>
          <w:tcPr>
            <w:tcW w:w="1055" w:type="pct"/>
            <w:tcBorders>
              <w:top w:val="nil"/>
              <w:left w:val="nil"/>
              <w:bottom w:val="nil"/>
              <w:right w:val="nil"/>
            </w:tcBorders>
          </w:tcPr>
          <w:p w14:paraId="0809589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(0.0124)</w:t>
            </w:r>
          </w:p>
        </w:tc>
      </w:tr>
      <w:tr w:rsidR="00AE62A4" w:rsidRPr="003F62F7" w14:paraId="69B6C2A0" w14:textId="77777777" w:rsidTr="00C93C71">
        <w:tc>
          <w:tcPr>
            <w:tcW w:w="1802" w:type="pct"/>
            <w:tcBorders>
              <w:top w:val="nil"/>
              <w:left w:val="nil"/>
              <w:bottom w:val="nil"/>
              <w:right w:val="nil"/>
            </w:tcBorders>
          </w:tcPr>
          <w:p w14:paraId="1427F9DF"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5CA9988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714C8B6A"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208D59B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12E72292" w14:textId="77777777" w:rsidTr="00C93C71">
        <w:tc>
          <w:tcPr>
            <w:tcW w:w="1802" w:type="pct"/>
            <w:tcBorders>
              <w:top w:val="nil"/>
              <w:left w:val="nil"/>
              <w:bottom w:val="nil"/>
              <w:right w:val="nil"/>
            </w:tcBorders>
          </w:tcPr>
          <w:p w14:paraId="23556079"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manufacture</w:t>
            </w:r>
          </w:p>
        </w:tc>
        <w:tc>
          <w:tcPr>
            <w:tcW w:w="1020" w:type="pct"/>
            <w:tcBorders>
              <w:top w:val="nil"/>
              <w:left w:val="nil"/>
              <w:bottom w:val="nil"/>
              <w:right w:val="nil"/>
            </w:tcBorders>
          </w:tcPr>
          <w:p w14:paraId="1D62CE7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0.0291**</w:t>
            </w:r>
          </w:p>
        </w:tc>
        <w:tc>
          <w:tcPr>
            <w:tcW w:w="1123" w:type="pct"/>
            <w:tcBorders>
              <w:top w:val="nil"/>
              <w:left w:val="nil"/>
              <w:bottom w:val="nil"/>
              <w:right w:val="nil"/>
            </w:tcBorders>
          </w:tcPr>
          <w:p w14:paraId="729749CC"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0.0357**</w:t>
            </w:r>
          </w:p>
        </w:tc>
        <w:tc>
          <w:tcPr>
            <w:tcW w:w="1055" w:type="pct"/>
            <w:tcBorders>
              <w:top w:val="nil"/>
              <w:left w:val="nil"/>
              <w:bottom w:val="nil"/>
              <w:right w:val="nil"/>
            </w:tcBorders>
          </w:tcPr>
          <w:p w14:paraId="30F71B8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0.0379**</w:t>
            </w:r>
          </w:p>
        </w:tc>
      </w:tr>
      <w:tr w:rsidR="00AE62A4" w:rsidRPr="003F62F7" w14:paraId="48659A9D" w14:textId="77777777" w:rsidTr="00C93C71">
        <w:tc>
          <w:tcPr>
            <w:tcW w:w="1802" w:type="pct"/>
            <w:tcBorders>
              <w:top w:val="nil"/>
              <w:left w:val="nil"/>
              <w:bottom w:val="nil"/>
              <w:right w:val="nil"/>
            </w:tcBorders>
          </w:tcPr>
          <w:p w14:paraId="4825F46F"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731F256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(0.0102)</w:t>
            </w:r>
          </w:p>
        </w:tc>
        <w:tc>
          <w:tcPr>
            <w:tcW w:w="1123" w:type="pct"/>
            <w:tcBorders>
              <w:top w:val="nil"/>
              <w:left w:val="nil"/>
              <w:bottom w:val="nil"/>
              <w:right w:val="nil"/>
            </w:tcBorders>
          </w:tcPr>
          <w:p w14:paraId="0CEAF3E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(0.0118)</w:t>
            </w:r>
          </w:p>
        </w:tc>
        <w:tc>
          <w:tcPr>
            <w:tcW w:w="1055" w:type="pct"/>
            <w:tcBorders>
              <w:top w:val="nil"/>
              <w:left w:val="nil"/>
              <w:bottom w:val="nil"/>
              <w:right w:val="nil"/>
            </w:tcBorders>
          </w:tcPr>
          <w:p w14:paraId="2C9AC433"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(0.0118)</w:t>
            </w:r>
          </w:p>
        </w:tc>
      </w:tr>
      <w:tr w:rsidR="00AE62A4" w:rsidRPr="003F62F7" w14:paraId="05C244B1" w14:textId="77777777" w:rsidTr="00C93C71">
        <w:tc>
          <w:tcPr>
            <w:tcW w:w="1802" w:type="pct"/>
            <w:tcBorders>
              <w:top w:val="nil"/>
              <w:left w:val="nil"/>
              <w:bottom w:val="nil"/>
              <w:right w:val="nil"/>
            </w:tcBorders>
          </w:tcPr>
          <w:p w14:paraId="7CE95AD0"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1F4DDF5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097DD72A"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3BB40F7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25E93643" w14:textId="77777777" w:rsidTr="00C93C71">
        <w:tc>
          <w:tcPr>
            <w:tcW w:w="1802" w:type="pct"/>
            <w:tcBorders>
              <w:top w:val="nil"/>
              <w:left w:val="nil"/>
              <w:bottom w:val="nil"/>
              <w:right w:val="nil"/>
            </w:tcBorders>
          </w:tcPr>
          <w:p w14:paraId="08D1E27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agriculture</w:t>
            </w:r>
          </w:p>
        </w:tc>
        <w:tc>
          <w:tcPr>
            <w:tcW w:w="1020" w:type="pct"/>
            <w:tcBorders>
              <w:top w:val="nil"/>
              <w:left w:val="nil"/>
              <w:bottom w:val="nil"/>
              <w:right w:val="nil"/>
            </w:tcBorders>
          </w:tcPr>
          <w:p w14:paraId="76E9B07D"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-0.105**</w:t>
            </w:r>
          </w:p>
        </w:tc>
        <w:tc>
          <w:tcPr>
            <w:tcW w:w="1123" w:type="pct"/>
            <w:tcBorders>
              <w:top w:val="nil"/>
              <w:left w:val="nil"/>
              <w:bottom w:val="nil"/>
              <w:right w:val="nil"/>
            </w:tcBorders>
          </w:tcPr>
          <w:p w14:paraId="7E24B3A0"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-0.0720**</w:t>
            </w:r>
          </w:p>
        </w:tc>
        <w:tc>
          <w:tcPr>
            <w:tcW w:w="1055" w:type="pct"/>
            <w:tcBorders>
              <w:top w:val="nil"/>
              <w:left w:val="nil"/>
              <w:bottom w:val="nil"/>
              <w:right w:val="nil"/>
            </w:tcBorders>
          </w:tcPr>
          <w:p w14:paraId="610C0A04"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-0.0876**</w:t>
            </w:r>
          </w:p>
        </w:tc>
      </w:tr>
      <w:tr w:rsidR="00AE62A4" w:rsidRPr="003F62F7" w14:paraId="03CB282B" w14:textId="77777777" w:rsidTr="00C93C71">
        <w:tc>
          <w:tcPr>
            <w:tcW w:w="1802" w:type="pct"/>
            <w:tcBorders>
              <w:top w:val="nil"/>
              <w:left w:val="nil"/>
              <w:bottom w:val="nil"/>
              <w:right w:val="nil"/>
            </w:tcBorders>
          </w:tcPr>
          <w:p w14:paraId="7ED37703"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1189A3A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(0.0177)</w:t>
            </w:r>
          </w:p>
        </w:tc>
        <w:tc>
          <w:tcPr>
            <w:tcW w:w="1123" w:type="pct"/>
            <w:tcBorders>
              <w:top w:val="nil"/>
              <w:left w:val="nil"/>
              <w:bottom w:val="nil"/>
              <w:right w:val="nil"/>
            </w:tcBorders>
          </w:tcPr>
          <w:p w14:paraId="6858175B"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(0.0229)</w:t>
            </w:r>
          </w:p>
        </w:tc>
        <w:tc>
          <w:tcPr>
            <w:tcW w:w="1055" w:type="pct"/>
            <w:tcBorders>
              <w:top w:val="nil"/>
              <w:left w:val="nil"/>
              <w:bottom w:val="nil"/>
              <w:right w:val="nil"/>
            </w:tcBorders>
          </w:tcPr>
          <w:p w14:paraId="1684E829"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(0.0227)</w:t>
            </w:r>
          </w:p>
        </w:tc>
      </w:tr>
      <w:tr w:rsidR="00AE62A4" w:rsidRPr="003F62F7" w14:paraId="154BDF3A" w14:textId="77777777" w:rsidTr="00C93C71">
        <w:tc>
          <w:tcPr>
            <w:tcW w:w="1802" w:type="pct"/>
            <w:tcBorders>
              <w:top w:val="nil"/>
              <w:left w:val="nil"/>
              <w:bottom w:val="nil"/>
              <w:right w:val="nil"/>
            </w:tcBorders>
          </w:tcPr>
          <w:p w14:paraId="23D0A0BC"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15B31F1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13BCAA8C"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47E773A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197B8F" w14:paraId="48F1E771" w14:textId="77777777" w:rsidTr="00C93C71">
        <w:tc>
          <w:tcPr>
            <w:tcW w:w="1802" w:type="pct"/>
            <w:tcBorders>
              <w:top w:val="nil"/>
              <w:left w:val="nil"/>
              <w:bottom w:val="nil"/>
              <w:right w:val="nil"/>
            </w:tcBorders>
          </w:tcPr>
          <w:p w14:paraId="1ABF719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corruption</w:t>
            </w:r>
          </w:p>
        </w:tc>
        <w:tc>
          <w:tcPr>
            <w:tcW w:w="1020" w:type="pct"/>
            <w:tcBorders>
              <w:top w:val="nil"/>
              <w:left w:val="nil"/>
              <w:bottom w:val="nil"/>
              <w:right w:val="nil"/>
            </w:tcBorders>
          </w:tcPr>
          <w:p w14:paraId="3D75663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5BDEA32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-0.0130**</w:t>
            </w:r>
          </w:p>
        </w:tc>
        <w:tc>
          <w:tcPr>
            <w:tcW w:w="1055" w:type="pct"/>
            <w:tcBorders>
              <w:top w:val="nil"/>
              <w:left w:val="nil"/>
              <w:bottom w:val="nil"/>
              <w:right w:val="nil"/>
            </w:tcBorders>
          </w:tcPr>
          <w:p w14:paraId="07259C8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197B8F" w14:paraId="73928409" w14:textId="77777777" w:rsidTr="00C93C71">
        <w:tc>
          <w:tcPr>
            <w:tcW w:w="1802" w:type="pct"/>
            <w:tcBorders>
              <w:top w:val="nil"/>
              <w:left w:val="nil"/>
              <w:bottom w:val="nil"/>
              <w:right w:val="nil"/>
            </w:tcBorders>
          </w:tcPr>
          <w:p w14:paraId="0348A71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153E799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18CC639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(0.00345)</w:t>
            </w:r>
          </w:p>
        </w:tc>
        <w:tc>
          <w:tcPr>
            <w:tcW w:w="1055" w:type="pct"/>
            <w:tcBorders>
              <w:top w:val="nil"/>
              <w:left w:val="nil"/>
              <w:bottom w:val="nil"/>
              <w:right w:val="nil"/>
            </w:tcBorders>
          </w:tcPr>
          <w:p w14:paraId="7415636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0D3D4C72" w14:textId="77777777" w:rsidTr="00C93C71">
        <w:tc>
          <w:tcPr>
            <w:tcW w:w="1802" w:type="pct"/>
            <w:tcBorders>
              <w:top w:val="nil"/>
              <w:left w:val="nil"/>
              <w:bottom w:val="nil"/>
              <w:right w:val="nil"/>
            </w:tcBorders>
          </w:tcPr>
          <w:p w14:paraId="56E03A9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73348D4B"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421D594D"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7AF7BDE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7701CDCC" w14:textId="77777777" w:rsidTr="00C93C71">
        <w:tc>
          <w:tcPr>
            <w:tcW w:w="1802" w:type="pct"/>
            <w:tcBorders>
              <w:top w:val="nil"/>
              <w:left w:val="nil"/>
              <w:bottom w:val="nil"/>
              <w:right w:val="nil"/>
            </w:tcBorders>
          </w:tcPr>
          <w:p w14:paraId="03AA58E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3F62F7">
              <w:rPr>
                <w:rFonts w:ascii="Times New Roman" w:eastAsiaTheme="minorEastAsia" w:hAnsi="Times New Roman" w:cs="Times New Roman"/>
                <w:sz w:val="20"/>
                <w:szCs w:val="20"/>
              </w:rPr>
              <w:t>resourcerent</w:t>
            </w:r>
            <w:proofErr w:type="spellEnd"/>
            <w:r w:rsidRPr="003F62F7">
              <w:rPr>
                <w:rFonts w:ascii="Times New Roman" w:eastAsiaTheme="minorEastAsia" w:hAnsi="Times New Roman" w:cs="Times New Roman"/>
                <w:sz w:val="20"/>
                <w:szCs w:val="20"/>
              </w:rPr>
              <w:t>*corruption</w:t>
            </w:r>
          </w:p>
        </w:tc>
        <w:tc>
          <w:tcPr>
            <w:tcW w:w="1020" w:type="pct"/>
            <w:tcBorders>
              <w:top w:val="nil"/>
              <w:left w:val="nil"/>
              <w:bottom w:val="nil"/>
              <w:right w:val="nil"/>
            </w:tcBorders>
          </w:tcPr>
          <w:p w14:paraId="3921653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5133E96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-0.00738</w:t>
            </w:r>
          </w:p>
        </w:tc>
        <w:tc>
          <w:tcPr>
            <w:tcW w:w="1055" w:type="pct"/>
            <w:tcBorders>
              <w:top w:val="nil"/>
              <w:left w:val="nil"/>
              <w:bottom w:val="nil"/>
              <w:right w:val="nil"/>
            </w:tcBorders>
          </w:tcPr>
          <w:p w14:paraId="4F8D339C"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063DCC59" w14:textId="77777777" w:rsidTr="00C93C71">
        <w:tc>
          <w:tcPr>
            <w:tcW w:w="1802" w:type="pct"/>
            <w:tcBorders>
              <w:top w:val="nil"/>
              <w:left w:val="nil"/>
              <w:bottom w:val="nil"/>
              <w:right w:val="nil"/>
            </w:tcBorders>
          </w:tcPr>
          <w:p w14:paraId="1B40FB0E"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26EC09F3"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48467C2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(0.0132)</w:t>
            </w:r>
          </w:p>
        </w:tc>
        <w:tc>
          <w:tcPr>
            <w:tcW w:w="1055" w:type="pct"/>
            <w:tcBorders>
              <w:top w:val="nil"/>
              <w:left w:val="nil"/>
              <w:bottom w:val="nil"/>
              <w:right w:val="nil"/>
            </w:tcBorders>
          </w:tcPr>
          <w:p w14:paraId="5315CBF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2F71D32C" w14:textId="77777777" w:rsidTr="00C93C71">
        <w:tc>
          <w:tcPr>
            <w:tcW w:w="1802" w:type="pct"/>
            <w:tcBorders>
              <w:top w:val="nil"/>
              <w:left w:val="nil"/>
              <w:bottom w:val="nil"/>
              <w:right w:val="nil"/>
            </w:tcBorders>
          </w:tcPr>
          <w:p w14:paraId="0BD5261C"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0B23C75B"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76A3B6F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01AEF175"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19BD12E7" w14:textId="77777777" w:rsidTr="00C93C71">
        <w:tc>
          <w:tcPr>
            <w:tcW w:w="1802" w:type="pct"/>
            <w:tcBorders>
              <w:top w:val="nil"/>
              <w:left w:val="nil"/>
              <w:bottom w:val="nil"/>
              <w:right w:val="nil"/>
            </w:tcBorders>
          </w:tcPr>
          <w:p w14:paraId="3CBF0545"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manufacture*corruption</w:t>
            </w:r>
          </w:p>
        </w:tc>
        <w:tc>
          <w:tcPr>
            <w:tcW w:w="1020" w:type="pct"/>
            <w:tcBorders>
              <w:top w:val="nil"/>
              <w:left w:val="nil"/>
              <w:bottom w:val="nil"/>
              <w:right w:val="nil"/>
            </w:tcBorders>
          </w:tcPr>
          <w:p w14:paraId="073A011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57485460"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0.0418**</w:t>
            </w:r>
          </w:p>
        </w:tc>
        <w:tc>
          <w:tcPr>
            <w:tcW w:w="1055" w:type="pct"/>
            <w:tcBorders>
              <w:top w:val="nil"/>
              <w:left w:val="nil"/>
              <w:bottom w:val="nil"/>
              <w:right w:val="nil"/>
            </w:tcBorders>
          </w:tcPr>
          <w:p w14:paraId="0CD9C73C"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20CBD78F" w14:textId="77777777" w:rsidTr="00C93C71">
        <w:tc>
          <w:tcPr>
            <w:tcW w:w="1802" w:type="pct"/>
            <w:tcBorders>
              <w:top w:val="nil"/>
              <w:left w:val="nil"/>
              <w:bottom w:val="nil"/>
              <w:right w:val="nil"/>
            </w:tcBorders>
          </w:tcPr>
          <w:p w14:paraId="058AF40D"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3EC138D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15AD7635"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(0.0121)</w:t>
            </w:r>
          </w:p>
        </w:tc>
        <w:tc>
          <w:tcPr>
            <w:tcW w:w="1055" w:type="pct"/>
            <w:tcBorders>
              <w:top w:val="nil"/>
              <w:left w:val="nil"/>
              <w:bottom w:val="nil"/>
              <w:right w:val="nil"/>
            </w:tcBorders>
          </w:tcPr>
          <w:p w14:paraId="3A9C7F49"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60C03567" w14:textId="77777777" w:rsidTr="00C93C71">
        <w:tc>
          <w:tcPr>
            <w:tcW w:w="1802" w:type="pct"/>
            <w:tcBorders>
              <w:top w:val="nil"/>
              <w:left w:val="nil"/>
              <w:bottom w:val="nil"/>
              <w:right w:val="nil"/>
            </w:tcBorders>
          </w:tcPr>
          <w:p w14:paraId="471939BA"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2DC877ED"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7EAD9363"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63FC4A6D"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05D7CCCA" w14:textId="77777777" w:rsidTr="00C93C71">
        <w:tc>
          <w:tcPr>
            <w:tcW w:w="1802" w:type="pct"/>
            <w:tcBorders>
              <w:top w:val="nil"/>
              <w:left w:val="nil"/>
              <w:bottom w:val="nil"/>
              <w:right w:val="nil"/>
            </w:tcBorders>
          </w:tcPr>
          <w:p w14:paraId="48CD894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agriculture*corruption</w:t>
            </w:r>
          </w:p>
        </w:tc>
        <w:tc>
          <w:tcPr>
            <w:tcW w:w="1020" w:type="pct"/>
            <w:tcBorders>
              <w:top w:val="nil"/>
              <w:left w:val="nil"/>
              <w:bottom w:val="nil"/>
              <w:right w:val="nil"/>
            </w:tcBorders>
          </w:tcPr>
          <w:p w14:paraId="10187955"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15F3741E"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0.0585**</w:t>
            </w:r>
          </w:p>
        </w:tc>
        <w:tc>
          <w:tcPr>
            <w:tcW w:w="1055" w:type="pct"/>
            <w:tcBorders>
              <w:top w:val="nil"/>
              <w:left w:val="nil"/>
              <w:bottom w:val="nil"/>
              <w:right w:val="nil"/>
            </w:tcBorders>
          </w:tcPr>
          <w:p w14:paraId="37BA6C4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46C18498" w14:textId="77777777" w:rsidTr="00C93C71">
        <w:tc>
          <w:tcPr>
            <w:tcW w:w="1802" w:type="pct"/>
            <w:tcBorders>
              <w:top w:val="nil"/>
              <w:left w:val="nil"/>
              <w:bottom w:val="nil"/>
              <w:right w:val="nil"/>
            </w:tcBorders>
          </w:tcPr>
          <w:p w14:paraId="42D80653"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747766AE"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23AB1AD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(0.0225)</w:t>
            </w:r>
          </w:p>
        </w:tc>
        <w:tc>
          <w:tcPr>
            <w:tcW w:w="1055" w:type="pct"/>
            <w:tcBorders>
              <w:top w:val="nil"/>
              <w:left w:val="nil"/>
              <w:bottom w:val="nil"/>
              <w:right w:val="nil"/>
            </w:tcBorders>
          </w:tcPr>
          <w:p w14:paraId="7630BCA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003C9EC4" w14:textId="77777777" w:rsidTr="00C93C71">
        <w:tc>
          <w:tcPr>
            <w:tcW w:w="1802" w:type="pct"/>
            <w:tcBorders>
              <w:top w:val="nil"/>
              <w:left w:val="nil"/>
              <w:bottom w:val="nil"/>
              <w:right w:val="nil"/>
            </w:tcBorders>
          </w:tcPr>
          <w:p w14:paraId="09088ADF"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27C443B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2F66678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069E415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61BFCF5A" w14:textId="77777777" w:rsidTr="00C93C71">
        <w:tc>
          <w:tcPr>
            <w:tcW w:w="1802" w:type="pct"/>
            <w:tcBorders>
              <w:top w:val="nil"/>
              <w:left w:val="nil"/>
              <w:bottom w:val="nil"/>
              <w:right w:val="nil"/>
            </w:tcBorders>
          </w:tcPr>
          <w:p w14:paraId="30A36C9E"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197B8F">
              <w:rPr>
                <w:rFonts w:ascii="Times New Roman" w:hAnsi="Times New Roman" w:cs="Times New Roman"/>
                <w:sz w:val="20"/>
                <w:szCs w:val="20"/>
              </w:rPr>
              <w:t>govteffect</w:t>
            </w:r>
            <w:r>
              <w:rPr>
                <w:rFonts w:ascii="Times New Roman" w:hAnsi="Times New Roman" w:cs="Times New Roman"/>
                <w:sz w:val="20"/>
                <w:szCs w:val="20"/>
              </w:rPr>
              <w:t>iveness</w:t>
            </w:r>
            <w:proofErr w:type="spellEnd"/>
          </w:p>
        </w:tc>
        <w:tc>
          <w:tcPr>
            <w:tcW w:w="1020" w:type="pct"/>
            <w:tcBorders>
              <w:top w:val="nil"/>
              <w:left w:val="nil"/>
              <w:bottom w:val="nil"/>
              <w:right w:val="nil"/>
            </w:tcBorders>
          </w:tcPr>
          <w:p w14:paraId="088AB1B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4BD0397B"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0E39FD8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197B8F">
              <w:rPr>
                <w:rFonts w:ascii="Times New Roman" w:hAnsi="Times New Roman" w:cs="Times New Roman"/>
                <w:sz w:val="20"/>
                <w:szCs w:val="20"/>
              </w:rPr>
              <w:t>-0.0127**</w:t>
            </w:r>
          </w:p>
        </w:tc>
      </w:tr>
      <w:tr w:rsidR="00AE62A4" w:rsidRPr="003F62F7" w14:paraId="2C17AA55" w14:textId="77777777" w:rsidTr="00C93C71">
        <w:tc>
          <w:tcPr>
            <w:tcW w:w="1802" w:type="pct"/>
            <w:tcBorders>
              <w:top w:val="nil"/>
              <w:left w:val="nil"/>
              <w:bottom w:val="nil"/>
              <w:right w:val="nil"/>
            </w:tcBorders>
          </w:tcPr>
          <w:p w14:paraId="1682891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28D1DF3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166D3319"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764E120E"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197B8F">
              <w:rPr>
                <w:rFonts w:ascii="Times New Roman" w:hAnsi="Times New Roman" w:cs="Times New Roman"/>
                <w:sz w:val="20"/>
                <w:szCs w:val="20"/>
              </w:rPr>
              <w:t>(0.00353)</w:t>
            </w:r>
          </w:p>
        </w:tc>
      </w:tr>
      <w:tr w:rsidR="00AE62A4" w:rsidRPr="003F62F7" w14:paraId="6DA1E116" w14:textId="77777777" w:rsidTr="00C93C71">
        <w:tc>
          <w:tcPr>
            <w:tcW w:w="1802" w:type="pct"/>
            <w:tcBorders>
              <w:top w:val="nil"/>
              <w:left w:val="nil"/>
              <w:bottom w:val="nil"/>
              <w:right w:val="nil"/>
            </w:tcBorders>
          </w:tcPr>
          <w:p w14:paraId="22EE537A"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2C05259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5C7F18FF"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12EEC90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33416722" w14:textId="77777777" w:rsidTr="00C93C71">
        <w:tc>
          <w:tcPr>
            <w:tcW w:w="1802" w:type="pct"/>
            <w:tcBorders>
              <w:top w:val="nil"/>
              <w:left w:val="nil"/>
              <w:bottom w:val="nil"/>
              <w:right w:val="nil"/>
            </w:tcBorders>
          </w:tcPr>
          <w:p w14:paraId="7644EBE5"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3F62F7">
              <w:rPr>
                <w:rFonts w:ascii="Times New Roman" w:eastAsiaTheme="minorEastAsia" w:hAnsi="Times New Roman" w:cs="Times New Roman"/>
                <w:sz w:val="20"/>
                <w:szCs w:val="20"/>
              </w:rPr>
              <w:t>resourcerent</w:t>
            </w:r>
            <w:proofErr w:type="spellEnd"/>
            <w:r w:rsidRPr="003F62F7">
              <w:rPr>
                <w:rFonts w:ascii="Times New Roman" w:eastAsiaTheme="minorEastAsia" w:hAnsi="Times New Roman" w:cs="Times New Roman"/>
                <w:sz w:val="20"/>
                <w:szCs w:val="20"/>
              </w:rPr>
              <w:t>*</w:t>
            </w:r>
            <w:proofErr w:type="spellStart"/>
            <w:r w:rsidRPr="003F62F7">
              <w:rPr>
                <w:rFonts w:ascii="Times New Roman" w:eastAsiaTheme="minorEastAsia" w:hAnsi="Times New Roman" w:cs="Times New Roman"/>
                <w:sz w:val="20"/>
                <w:szCs w:val="20"/>
              </w:rPr>
              <w:t>govteffectiveness</w:t>
            </w:r>
            <w:proofErr w:type="spellEnd"/>
          </w:p>
        </w:tc>
        <w:tc>
          <w:tcPr>
            <w:tcW w:w="1020" w:type="pct"/>
            <w:tcBorders>
              <w:top w:val="nil"/>
              <w:left w:val="nil"/>
              <w:bottom w:val="nil"/>
              <w:right w:val="nil"/>
            </w:tcBorders>
          </w:tcPr>
          <w:p w14:paraId="4D1AA76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1294F3F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775FDA2A"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-0.0122</w:t>
            </w:r>
          </w:p>
        </w:tc>
      </w:tr>
      <w:tr w:rsidR="00AE62A4" w:rsidRPr="003F62F7" w14:paraId="64ED985D" w14:textId="77777777" w:rsidTr="00C93C71">
        <w:tc>
          <w:tcPr>
            <w:tcW w:w="1802" w:type="pct"/>
            <w:tcBorders>
              <w:top w:val="nil"/>
              <w:left w:val="nil"/>
              <w:bottom w:val="nil"/>
              <w:right w:val="nil"/>
            </w:tcBorders>
          </w:tcPr>
          <w:p w14:paraId="6F1E5027"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78F5C8F9"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082BEC60"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1817D25A"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(0.0124)</w:t>
            </w:r>
          </w:p>
        </w:tc>
      </w:tr>
      <w:tr w:rsidR="00AE62A4" w:rsidRPr="003F62F7" w14:paraId="61D1CA09" w14:textId="77777777" w:rsidTr="00C93C71">
        <w:tc>
          <w:tcPr>
            <w:tcW w:w="1802" w:type="pct"/>
            <w:tcBorders>
              <w:top w:val="nil"/>
              <w:left w:val="nil"/>
              <w:bottom w:val="nil"/>
              <w:right w:val="nil"/>
            </w:tcBorders>
          </w:tcPr>
          <w:p w14:paraId="09FB278B"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0328A75D"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49A9402D"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7D0FCA53"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339C6482" w14:textId="77777777" w:rsidTr="00C93C71">
        <w:tc>
          <w:tcPr>
            <w:tcW w:w="1802" w:type="pct"/>
            <w:tcBorders>
              <w:top w:val="nil"/>
              <w:left w:val="nil"/>
              <w:bottom w:val="nil"/>
              <w:right w:val="nil"/>
            </w:tcBorders>
          </w:tcPr>
          <w:p w14:paraId="4840AD1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manufacture*</w:t>
            </w:r>
            <w:proofErr w:type="spellStart"/>
            <w:r w:rsidRPr="003F62F7">
              <w:rPr>
                <w:rFonts w:ascii="Times New Roman" w:eastAsiaTheme="minorEastAsia" w:hAnsi="Times New Roman" w:cs="Times New Roman"/>
                <w:sz w:val="20"/>
                <w:szCs w:val="20"/>
              </w:rPr>
              <w:t>govteffectiveness</w:t>
            </w:r>
            <w:proofErr w:type="spellEnd"/>
          </w:p>
        </w:tc>
        <w:tc>
          <w:tcPr>
            <w:tcW w:w="1020" w:type="pct"/>
            <w:tcBorders>
              <w:top w:val="nil"/>
              <w:left w:val="nil"/>
              <w:bottom w:val="nil"/>
              <w:right w:val="nil"/>
            </w:tcBorders>
          </w:tcPr>
          <w:p w14:paraId="743CFB75"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6287A8DE"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0966461C"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0.0105</w:t>
            </w:r>
          </w:p>
        </w:tc>
      </w:tr>
      <w:tr w:rsidR="00AE62A4" w:rsidRPr="003F62F7" w14:paraId="15381BA3" w14:textId="77777777" w:rsidTr="00C93C71">
        <w:tc>
          <w:tcPr>
            <w:tcW w:w="1802" w:type="pct"/>
            <w:tcBorders>
              <w:top w:val="nil"/>
              <w:left w:val="nil"/>
              <w:bottom w:val="nil"/>
              <w:right w:val="nil"/>
            </w:tcBorders>
          </w:tcPr>
          <w:p w14:paraId="11C89BE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5810D99C"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19790B7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53B9AD3F"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(0.0122)</w:t>
            </w:r>
          </w:p>
        </w:tc>
      </w:tr>
      <w:tr w:rsidR="00AE62A4" w:rsidRPr="003F62F7" w14:paraId="33D9664E" w14:textId="77777777" w:rsidTr="00C93C71">
        <w:tc>
          <w:tcPr>
            <w:tcW w:w="1802" w:type="pct"/>
            <w:tcBorders>
              <w:top w:val="nil"/>
              <w:left w:val="nil"/>
              <w:bottom w:val="nil"/>
              <w:right w:val="nil"/>
            </w:tcBorders>
          </w:tcPr>
          <w:p w14:paraId="2488F63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355A3FB9"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624B6855"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01EE73B4"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71DE21B5" w14:textId="77777777" w:rsidTr="00C93C71">
        <w:tc>
          <w:tcPr>
            <w:tcW w:w="1802" w:type="pct"/>
            <w:tcBorders>
              <w:top w:val="nil"/>
              <w:left w:val="nil"/>
              <w:bottom w:val="nil"/>
              <w:right w:val="nil"/>
            </w:tcBorders>
          </w:tcPr>
          <w:p w14:paraId="363694BB"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agriculture*</w:t>
            </w:r>
            <w:proofErr w:type="spellStart"/>
            <w:r w:rsidRPr="003F62F7">
              <w:rPr>
                <w:rFonts w:ascii="Times New Roman" w:eastAsiaTheme="minorEastAsia" w:hAnsi="Times New Roman" w:cs="Times New Roman"/>
                <w:sz w:val="20"/>
                <w:szCs w:val="20"/>
              </w:rPr>
              <w:t>govteffectiveness</w:t>
            </w:r>
            <w:proofErr w:type="spellEnd"/>
          </w:p>
        </w:tc>
        <w:tc>
          <w:tcPr>
            <w:tcW w:w="1020" w:type="pct"/>
            <w:tcBorders>
              <w:top w:val="nil"/>
              <w:left w:val="nil"/>
              <w:bottom w:val="nil"/>
              <w:right w:val="nil"/>
            </w:tcBorders>
          </w:tcPr>
          <w:p w14:paraId="66F4A4F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5269B28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3BF2EF9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0.0450*</w:t>
            </w:r>
          </w:p>
        </w:tc>
      </w:tr>
      <w:tr w:rsidR="00AE62A4" w:rsidRPr="003F62F7" w14:paraId="794ECAAD" w14:textId="77777777" w:rsidTr="00C93C71">
        <w:tc>
          <w:tcPr>
            <w:tcW w:w="1802" w:type="pct"/>
            <w:tcBorders>
              <w:top w:val="nil"/>
              <w:left w:val="nil"/>
              <w:bottom w:val="nil"/>
              <w:right w:val="nil"/>
            </w:tcBorders>
          </w:tcPr>
          <w:p w14:paraId="71C0233F"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731529E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0DF4C900"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02CFCF4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(0.0259)</w:t>
            </w:r>
          </w:p>
        </w:tc>
      </w:tr>
      <w:tr w:rsidR="00AE62A4" w:rsidRPr="003F62F7" w14:paraId="6489895D" w14:textId="77777777" w:rsidTr="00C93C71">
        <w:tc>
          <w:tcPr>
            <w:tcW w:w="1802" w:type="pct"/>
            <w:tcBorders>
              <w:top w:val="nil"/>
              <w:left w:val="nil"/>
              <w:bottom w:val="nil"/>
              <w:right w:val="nil"/>
            </w:tcBorders>
          </w:tcPr>
          <w:p w14:paraId="5EC2356D"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20" w:type="pct"/>
            <w:tcBorders>
              <w:top w:val="nil"/>
              <w:left w:val="nil"/>
              <w:bottom w:val="nil"/>
              <w:right w:val="nil"/>
            </w:tcBorders>
          </w:tcPr>
          <w:p w14:paraId="5B887AA0"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123" w:type="pct"/>
            <w:tcBorders>
              <w:top w:val="nil"/>
              <w:left w:val="nil"/>
              <w:bottom w:val="nil"/>
              <w:right w:val="nil"/>
            </w:tcBorders>
          </w:tcPr>
          <w:p w14:paraId="1DD538C6"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1055" w:type="pct"/>
            <w:tcBorders>
              <w:top w:val="nil"/>
              <w:left w:val="nil"/>
              <w:bottom w:val="nil"/>
              <w:right w:val="nil"/>
            </w:tcBorders>
          </w:tcPr>
          <w:p w14:paraId="17EFC5F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3F62F7" w14:paraId="36020F5E" w14:textId="77777777" w:rsidTr="00C93C71">
        <w:tc>
          <w:tcPr>
            <w:tcW w:w="1802" w:type="pct"/>
            <w:tcBorders>
              <w:top w:val="single" w:sz="4" w:space="0" w:color="auto"/>
              <w:left w:val="nil"/>
              <w:bottom w:val="nil"/>
              <w:right w:val="nil"/>
            </w:tcBorders>
          </w:tcPr>
          <w:p w14:paraId="0B67945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Observations</w:t>
            </w:r>
          </w:p>
        </w:tc>
        <w:tc>
          <w:tcPr>
            <w:tcW w:w="1020" w:type="pct"/>
            <w:tcBorders>
              <w:top w:val="single" w:sz="4" w:space="0" w:color="auto"/>
              <w:left w:val="nil"/>
              <w:bottom w:val="nil"/>
              <w:right w:val="nil"/>
            </w:tcBorders>
          </w:tcPr>
          <w:p w14:paraId="1FB1D7F8"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524</w:t>
            </w:r>
          </w:p>
        </w:tc>
        <w:tc>
          <w:tcPr>
            <w:tcW w:w="1123" w:type="pct"/>
            <w:tcBorders>
              <w:top w:val="single" w:sz="4" w:space="0" w:color="auto"/>
              <w:left w:val="nil"/>
              <w:bottom w:val="nil"/>
              <w:right w:val="nil"/>
            </w:tcBorders>
          </w:tcPr>
          <w:p w14:paraId="04B71831"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434</w:t>
            </w:r>
          </w:p>
        </w:tc>
        <w:tc>
          <w:tcPr>
            <w:tcW w:w="1055" w:type="pct"/>
            <w:tcBorders>
              <w:top w:val="single" w:sz="4" w:space="0" w:color="auto"/>
              <w:left w:val="nil"/>
              <w:bottom w:val="nil"/>
              <w:right w:val="nil"/>
            </w:tcBorders>
          </w:tcPr>
          <w:p w14:paraId="7F27D422"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434</w:t>
            </w:r>
          </w:p>
        </w:tc>
      </w:tr>
      <w:tr w:rsidR="00AE62A4" w:rsidRPr="003F62F7" w14:paraId="211F844E" w14:textId="77777777" w:rsidTr="00C93C71">
        <w:tc>
          <w:tcPr>
            <w:tcW w:w="1802" w:type="pct"/>
            <w:tcBorders>
              <w:top w:val="nil"/>
              <w:left w:val="nil"/>
              <w:bottom w:val="single" w:sz="4" w:space="0" w:color="auto"/>
              <w:right w:val="nil"/>
            </w:tcBorders>
          </w:tcPr>
          <w:p w14:paraId="08145C19"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i/>
                <w:iCs/>
                <w:sz w:val="20"/>
                <w:szCs w:val="20"/>
              </w:rPr>
              <w:t>R</w:t>
            </w:r>
            <w:r w:rsidRPr="003F62F7">
              <w:rPr>
                <w:rFonts w:ascii="Times New Roman" w:eastAsiaTheme="minorEastAsia" w:hAnsi="Times New Roman" w:cs="Times New Roman"/>
                <w:sz w:val="20"/>
                <w:szCs w:val="20"/>
                <w:vertAlign w:val="superscript"/>
              </w:rPr>
              <w:t>2</w:t>
            </w:r>
          </w:p>
        </w:tc>
        <w:tc>
          <w:tcPr>
            <w:tcW w:w="1020" w:type="pct"/>
            <w:tcBorders>
              <w:top w:val="nil"/>
              <w:left w:val="nil"/>
              <w:bottom w:val="single" w:sz="4" w:space="0" w:color="auto"/>
              <w:right w:val="nil"/>
            </w:tcBorders>
          </w:tcPr>
          <w:p w14:paraId="101DE17C"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0.203</w:t>
            </w:r>
          </w:p>
        </w:tc>
        <w:tc>
          <w:tcPr>
            <w:tcW w:w="1123" w:type="pct"/>
            <w:tcBorders>
              <w:top w:val="nil"/>
              <w:left w:val="nil"/>
              <w:bottom w:val="single" w:sz="4" w:space="0" w:color="auto"/>
              <w:right w:val="nil"/>
            </w:tcBorders>
          </w:tcPr>
          <w:p w14:paraId="65600093"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0.233</w:t>
            </w:r>
          </w:p>
        </w:tc>
        <w:tc>
          <w:tcPr>
            <w:tcW w:w="1055" w:type="pct"/>
            <w:tcBorders>
              <w:top w:val="nil"/>
              <w:left w:val="nil"/>
              <w:bottom w:val="single" w:sz="4" w:space="0" w:color="auto"/>
              <w:right w:val="nil"/>
            </w:tcBorders>
          </w:tcPr>
          <w:p w14:paraId="2F02FFE3" w14:textId="77777777" w:rsidR="00AE62A4" w:rsidRPr="003F62F7"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3F62F7">
              <w:rPr>
                <w:rFonts w:ascii="Times New Roman" w:eastAsiaTheme="minorEastAsia" w:hAnsi="Times New Roman" w:cs="Times New Roman"/>
                <w:sz w:val="20"/>
                <w:szCs w:val="20"/>
              </w:rPr>
              <w:t>0.233</w:t>
            </w:r>
          </w:p>
        </w:tc>
      </w:tr>
    </w:tbl>
    <w:p w14:paraId="512359D6" w14:textId="77777777" w:rsidR="00AE62A4" w:rsidRDefault="00AE62A4" w:rsidP="00AE62A4">
      <w:pPr>
        <w:tabs>
          <w:tab w:val="left" w:pos="765"/>
        </w:tabs>
        <w:rPr>
          <w:rFonts w:ascii="Times New Roman" w:eastAsia="Times New Roman" w:hAnsi="Times New Roman" w:cs="Times New Roman"/>
          <w:sz w:val="24"/>
          <w:szCs w:val="24"/>
        </w:rPr>
      </w:pPr>
      <w:r w:rsidRPr="00774092">
        <w:rPr>
          <w:rFonts w:ascii="Times New Roman" w:eastAsiaTheme="minorEastAsia" w:hAnsi="Times New Roman" w:cs="Times New Roman"/>
          <w:i/>
          <w:sz w:val="16"/>
          <w:szCs w:val="16"/>
        </w:rPr>
        <w:t>Note:</w:t>
      </w:r>
      <w:r w:rsidRPr="00774092">
        <w:rPr>
          <w:rFonts w:eastAsiaTheme="minorEastAsia"/>
          <w:sz w:val="16"/>
          <w:szCs w:val="16"/>
        </w:rPr>
        <w:t xml:space="preserve"> </w:t>
      </w:r>
      <w:r w:rsidRPr="00774092">
        <w:rPr>
          <w:rFonts w:ascii="Times New Roman" w:eastAsiaTheme="minorEastAsia" w:hAnsi="Times New Roman" w:cs="Times New Roman"/>
          <w:i/>
          <w:sz w:val="16"/>
          <w:szCs w:val="16"/>
        </w:rPr>
        <w:t>Public education spending is the dependent variable. Fixed effects model is used in all estimations. Point estimates are reported.  Standard errors are shown in parentheses. * Significant at 10%; ** significant at 5%. All regressions include a constant term and year fixed effects (not reported).</w:t>
      </w:r>
      <w:r>
        <w:rPr>
          <w:rFonts w:ascii="Times New Roman" w:eastAsia="Times New Roman" w:hAnsi="Times New Roman" w:cs="Times New Roman"/>
          <w:sz w:val="24"/>
          <w:szCs w:val="24"/>
        </w:rPr>
        <w:tab/>
      </w:r>
    </w:p>
    <w:p w14:paraId="543A34BE" w14:textId="77777777" w:rsidR="00AE62A4" w:rsidRDefault="00AE62A4" w:rsidP="00AE62A4">
      <w:pPr>
        <w:tabs>
          <w:tab w:val="left" w:pos="765"/>
        </w:tabs>
        <w:rPr>
          <w:rFonts w:ascii="Times New Roman" w:eastAsia="Times New Roman" w:hAnsi="Times New Roman" w:cs="Times New Roman"/>
          <w:sz w:val="24"/>
          <w:szCs w:val="24"/>
        </w:rPr>
      </w:pPr>
    </w:p>
    <w:p w14:paraId="58063A3C" w14:textId="77777777" w:rsidR="00AE62A4" w:rsidRDefault="00AE62A4" w:rsidP="00AE62A4">
      <w:pPr>
        <w:tabs>
          <w:tab w:val="left" w:pos="765"/>
        </w:tabs>
        <w:rPr>
          <w:rFonts w:ascii="Times New Roman" w:eastAsia="Times New Roman" w:hAnsi="Times New Roman" w:cs="Times New Roman"/>
          <w:sz w:val="24"/>
          <w:szCs w:val="24"/>
        </w:rPr>
      </w:pPr>
    </w:p>
    <w:p w14:paraId="01F4E824" w14:textId="77777777" w:rsidR="00AE62A4" w:rsidRDefault="00AE62A4" w:rsidP="00AE62A4">
      <w:pPr>
        <w:tabs>
          <w:tab w:val="left" w:pos="765"/>
        </w:tabs>
        <w:rPr>
          <w:rFonts w:ascii="Times New Roman" w:eastAsia="Times New Roman" w:hAnsi="Times New Roman" w:cs="Times New Roman"/>
          <w:sz w:val="24"/>
          <w:szCs w:val="24"/>
        </w:rPr>
      </w:pPr>
    </w:p>
    <w:p w14:paraId="2B7A667A" w14:textId="77777777" w:rsidR="00AE62A4" w:rsidRDefault="00AE62A4" w:rsidP="00AE62A4">
      <w:pPr>
        <w:tabs>
          <w:tab w:val="left" w:pos="765"/>
        </w:tabs>
        <w:rPr>
          <w:rFonts w:ascii="Times New Roman" w:eastAsia="Times New Roman" w:hAnsi="Times New Roman" w:cs="Times New Roman"/>
          <w:sz w:val="24"/>
          <w:szCs w:val="24"/>
        </w:rPr>
      </w:pPr>
    </w:p>
    <w:p w14:paraId="11BA0F0C" w14:textId="77777777" w:rsidR="00AE62A4" w:rsidRDefault="00AE62A4" w:rsidP="00AE62A4">
      <w:pPr>
        <w:tabs>
          <w:tab w:val="left" w:pos="765"/>
        </w:tabs>
        <w:rPr>
          <w:rFonts w:ascii="Times New Roman" w:eastAsia="Times New Roman" w:hAnsi="Times New Roman" w:cs="Times New Roman"/>
          <w:sz w:val="24"/>
          <w:szCs w:val="24"/>
        </w:rPr>
      </w:pPr>
    </w:p>
    <w:p w14:paraId="29DFF6BC" w14:textId="77777777" w:rsidR="00AE62A4" w:rsidRDefault="00AE62A4" w:rsidP="00AE62A4">
      <w:pPr>
        <w:tabs>
          <w:tab w:val="left" w:pos="765"/>
        </w:tabs>
        <w:rPr>
          <w:rFonts w:ascii="Times New Roman" w:eastAsia="Times New Roman" w:hAnsi="Times New Roman" w:cs="Times New Roman"/>
          <w:sz w:val="24"/>
          <w:szCs w:val="24"/>
        </w:rPr>
      </w:pPr>
    </w:p>
    <w:p w14:paraId="100946B1" w14:textId="77777777" w:rsidR="00AE62A4" w:rsidRPr="00686C7B" w:rsidRDefault="00AE62A4" w:rsidP="00AE62A4">
      <w:pPr>
        <w:tabs>
          <w:tab w:val="left" w:pos="765"/>
        </w:tabs>
        <w:spacing w:after="0" w:line="240" w:lineRule="auto"/>
        <w:rPr>
          <w:rFonts w:ascii="Times New Roman" w:eastAsia="Times New Roman" w:hAnsi="Times New Roman" w:cs="Times New Roman"/>
          <w:sz w:val="20"/>
          <w:szCs w:val="20"/>
        </w:rPr>
      </w:pPr>
      <w:r w:rsidRPr="00686C7B">
        <w:rPr>
          <w:rFonts w:ascii="Times New Roman" w:eastAsiaTheme="minorEastAsia" w:hAnsi="Times New Roman" w:cs="Times New Roman"/>
          <w:sz w:val="20"/>
          <w:szCs w:val="20"/>
        </w:rPr>
        <w:lastRenderedPageBreak/>
        <w:t>Table 7 Regression Results with Governance Indicators – Middle Income Countries</w:t>
      </w:r>
    </w:p>
    <w:tbl>
      <w:tblPr>
        <w:tblW w:w="5000" w:type="pct"/>
        <w:tblLook w:val="0000" w:firstRow="0" w:lastRow="0" w:firstColumn="0" w:lastColumn="0" w:noHBand="0" w:noVBand="0"/>
      </w:tblPr>
      <w:tblGrid>
        <w:gridCol w:w="2681"/>
        <w:gridCol w:w="1467"/>
        <w:gridCol w:w="1672"/>
        <w:gridCol w:w="1518"/>
        <w:gridCol w:w="1518"/>
      </w:tblGrid>
      <w:tr w:rsidR="00AE62A4" w:rsidRPr="009A413D" w14:paraId="43B4ACDA" w14:textId="77777777" w:rsidTr="00C93C71">
        <w:tc>
          <w:tcPr>
            <w:tcW w:w="1514" w:type="pct"/>
            <w:tcBorders>
              <w:top w:val="single" w:sz="4" w:space="0" w:color="auto"/>
              <w:left w:val="nil"/>
              <w:bottom w:val="nil"/>
              <w:right w:val="nil"/>
            </w:tcBorders>
          </w:tcPr>
          <w:p w14:paraId="4EE9B736" w14:textId="77777777" w:rsidR="00AE62A4" w:rsidRPr="009A413D" w:rsidRDefault="00AE62A4" w:rsidP="00C93C71">
            <w:pPr>
              <w:widowControl w:val="0"/>
              <w:autoSpaceDE w:val="0"/>
              <w:autoSpaceDN w:val="0"/>
              <w:adjustRightInd w:val="0"/>
              <w:spacing w:after="0" w:line="240" w:lineRule="auto"/>
              <w:rPr>
                <w:rFonts w:ascii="Times New Roman" w:eastAsiaTheme="minorEastAsia" w:hAnsi="Times New Roman" w:cs="Times New Roman"/>
                <w:sz w:val="20"/>
                <w:szCs w:val="20"/>
              </w:rPr>
            </w:pPr>
          </w:p>
        </w:tc>
        <w:tc>
          <w:tcPr>
            <w:tcW w:w="828" w:type="pct"/>
            <w:tcBorders>
              <w:top w:val="single" w:sz="4" w:space="0" w:color="auto"/>
              <w:left w:val="nil"/>
              <w:bottom w:val="nil"/>
              <w:right w:val="nil"/>
            </w:tcBorders>
          </w:tcPr>
          <w:p w14:paraId="7726745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(1)</w:t>
            </w:r>
          </w:p>
        </w:tc>
        <w:tc>
          <w:tcPr>
            <w:tcW w:w="944" w:type="pct"/>
            <w:tcBorders>
              <w:top w:val="single" w:sz="4" w:space="0" w:color="auto"/>
              <w:left w:val="nil"/>
              <w:bottom w:val="nil"/>
              <w:right w:val="nil"/>
            </w:tcBorders>
          </w:tcPr>
          <w:p w14:paraId="1949689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(2)</w:t>
            </w:r>
          </w:p>
        </w:tc>
        <w:tc>
          <w:tcPr>
            <w:tcW w:w="857" w:type="pct"/>
            <w:tcBorders>
              <w:top w:val="single" w:sz="4" w:space="0" w:color="auto"/>
              <w:left w:val="nil"/>
              <w:bottom w:val="nil"/>
              <w:right w:val="nil"/>
            </w:tcBorders>
          </w:tcPr>
          <w:p w14:paraId="303E845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(3)</w:t>
            </w:r>
          </w:p>
        </w:tc>
        <w:tc>
          <w:tcPr>
            <w:tcW w:w="857" w:type="pct"/>
            <w:tcBorders>
              <w:top w:val="single" w:sz="4" w:space="0" w:color="auto"/>
              <w:left w:val="nil"/>
              <w:bottom w:val="nil"/>
              <w:right w:val="nil"/>
            </w:tcBorders>
          </w:tcPr>
          <w:p w14:paraId="6967870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(4)</w:t>
            </w:r>
          </w:p>
        </w:tc>
      </w:tr>
      <w:tr w:rsidR="00AE62A4" w:rsidRPr="009A413D" w14:paraId="693D3D44" w14:textId="77777777" w:rsidTr="00C93C71">
        <w:tc>
          <w:tcPr>
            <w:tcW w:w="1514" w:type="pct"/>
            <w:tcBorders>
              <w:top w:val="single" w:sz="4" w:space="0" w:color="auto"/>
              <w:left w:val="nil"/>
              <w:bottom w:val="nil"/>
              <w:right w:val="nil"/>
            </w:tcBorders>
          </w:tcPr>
          <w:p w14:paraId="05580AB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9A413D">
              <w:rPr>
                <w:rFonts w:ascii="Times New Roman" w:eastAsiaTheme="minorEastAsia" w:hAnsi="Times New Roman" w:cs="Times New Roman"/>
                <w:sz w:val="20"/>
                <w:szCs w:val="20"/>
              </w:rPr>
              <w:t>resourcerent</w:t>
            </w:r>
            <w:proofErr w:type="spellEnd"/>
          </w:p>
        </w:tc>
        <w:tc>
          <w:tcPr>
            <w:tcW w:w="828" w:type="pct"/>
            <w:tcBorders>
              <w:top w:val="single" w:sz="4" w:space="0" w:color="auto"/>
              <w:left w:val="nil"/>
              <w:bottom w:val="nil"/>
              <w:right w:val="nil"/>
            </w:tcBorders>
          </w:tcPr>
          <w:p w14:paraId="1D9F574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-0.0162*</w:t>
            </w:r>
          </w:p>
        </w:tc>
        <w:tc>
          <w:tcPr>
            <w:tcW w:w="944" w:type="pct"/>
            <w:tcBorders>
              <w:top w:val="single" w:sz="4" w:space="0" w:color="auto"/>
              <w:left w:val="nil"/>
              <w:bottom w:val="nil"/>
              <w:right w:val="nil"/>
            </w:tcBorders>
          </w:tcPr>
          <w:p w14:paraId="04E35DD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-0.0222*</w:t>
            </w:r>
          </w:p>
        </w:tc>
        <w:tc>
          <w:tcPr>
            <w:tcW w:w="857" w:type="pct"/>
            <w:tcBorders>
              <w:top w:val="single" w:sz="4" w:space="0" w:color="auto"/>
              <w:left w:val="nil"/>
              <w:bottom w:val="nil"/>
              <w:right w:val="nil"/>
            </w:tcBorders>
          </w:tcPr>
          <w:p w14:paraId="2193B2E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-0.0273**</w:t>
            </w:r>
          </w:p>
        </w:tc>
        <w:tc>
          <w:tcPr>
            <w:tcW w:w="857" w:type="pct"/>
            <w:tcBorders>
              <w:top w:val="single" w:sz="4" w:space="0" w:color="auto"/>
              <w:left w:val="nil"/>
              <w:bottom w:val="nil"/>
              <w:right w:val="nil"/>
            </w:tcBorders>
          </w:tcPr>
          <w:p w14:paraId="3A444CA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-0.0325**</w:t>
            </w:r>
          </w:p>
        </w:tc>
      </w:tr>
      <w:tr w:rsidR="00AE62A4" w:rsidRPr="009A413D" w14:paraId="6A6A9EDB" w14:textId="77777777" w:rsidTr="00C93C71">
        <w:tc>
          <w:tcPr>
            <w:tcW w:w="1514" w:type="pct"/>
            <w:tcBorders>
              <w:top w:val="nil"/>
              <w:left w:val="nil"/>
              <w:bottom w:val="nil"/>
              <w:right w:val="nil"/>
            </w:tcBorders>
          </w:tcPr>
          <w:p w14:paraId="6D64460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3AE02D3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(0.00913)</w:t>
            </w:r>
          </w:p>
        </w:tc>
        <w:tc>
          <w:tcPr>
            <w:tcW w:w="944" w:type="pct"/>
            <w:tcBorders>
              <w:top w:val="nil"/>
              <w:left w:val="nil"/>
              <w:bottom w:val="nil"/>
              <w:right w:val="nil"/>
            </w:tcBorders>
          </w:tcPr>
          <w:p w14:paraId="4533CF1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(0.0113)</w:t>
            </w:r>
          </w:p>
        </w:tc>
        <w:tc>
          <w:tcPr>
            <w:tcW w:w="857" w:type="pct"/>
            <w:tcBorders>
              <w:top w:val="nil"/>
              <w:left w:val="nil"/>
              <w:bottom w:val="nil"/>
              <w:right w:val="nil"/>
            </w:tcBorders>
          </w:tcPr>
          <w:p w14:paraId="6F9C174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(0.0116)</w:t>
            </w:r>
          </w:p>
        </w:tc>
        <w:tc>
          <w:tcPr>
            <w:tcW w:w="857" w:type="pct"/>
            <w:tcBorders>
              <w:top w:val="nil"/>
              <w:left w:val="nil"/>
              <w:bottom w:val="nil"/>
              <w:right w:val="nil"/>
            </w:tcBorders>
          </w:tcPr>
          <w:p w14:paraId="5235863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(0.0129)</w:t>
            </w:r>
          </w:p>
        </w:tc>
      </w:tr>
      <w:tr w:rsidR="00AE62A4" w:rsidRPr="009A413D" w14:paraId="6CEEA96F" w14:textId="77777777" w:rsidTr="00C93C71">
        <w:tc>
          <w:tcPr>
            <w:tcW w:w="1514" w:type="pct"/>
            <w:tcBorders>
              <w:top w:val="nil"/>
              <w:left w:val="nil"/>
              <w:bottom w:val="nil"/>
              <w:right w:val="nil"/>
            </w:tcBorders>
          </w:tcPr>
          <w:p w14:paraId="175D1E3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6A5CD19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05E23F4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53A1D54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027F691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3591B7FF" w14:textId="77777777" w:rsidTr="00C93C71">
        <w:tc>
          <w:tcPr>
            <w:tcW w:w="1514" w:type="pct"/>
            <w:tcBorders>
              <w:top w:val="nil"/>
              <w:left w:val="nil"/>
              <w:bottom w:val="nil"/>
              <w:right w:val="nil"/>
            </w:tcBorders>
          </w:tcPr>
          <w:p w14:paraId="1AE6F5A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manufacture</w:t>
            </w:r>
          </w:p>
        </w:tc>
        <w:tc>
          <w:tcPr>
            <w:tcW w:w="828" w:type="pct"/>
            <w:tcBorders>
              <w:top w:val="nil"/>
              <w:left w:val="nil"/>
              <w:bottom w:val="nil"/>
              <w:right w:val="nil"/>
            </w:tcBorders>
          </w:tcPr>
          <w:p w14:paraId="2969ADB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0.0291**</w:t>
            </w:r>
          </w:p>
        </w:tc>
        <w:tc>
          <w:tcPr>
            <w:tcW w:w="944" w:type="pct"/>
            <w:tcBorders>
              <w:top w:val="nil"/>
              <w:left w:val="nil"/>
              <w:bottom w:val="nil"/>
              <w:right w:val="nil"/>
            </w:tcBorders>
          </w:tcPr>
          <w:p w14:paraId="56399D2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0.0300**</w:t>
            </w:r>
          </w:p>
        </w:tc>
        <w:tc>
          <w:tcPr>
            <w:tcW w:w="857" w:type="pct"/>
            <w:tcBorders>
              <w:top w:val="nil"/>
              <w:left w:val="nil"/>
              <w:bottom w:val="nil"/>
              <w:right w:val="nil"/>
            </w:tcBorders>
          </w:tcPr>
          <w:p w14:paraId="7B4F5F1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0.0356**</w:t>
            </w:r>
          </w:p>
        </w:tc>
        <w:tc>
          <w:tcPr>
            <w:tcW w:w="857" w:type="pct"/>
            <w:tcBorders>
              <w:top w:val="nil"/>
              <w:left w:val="nil"/>
              <w:bottom w:val="nil"/>
              <w:right w:val="nil"/>
            </w:tcBorders>
          </w:tcPr>
          <w:p w14:paraId="2F00322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0.0472**</w:t>
            </w:r>
          </w:p>
        </w:tc>
      </w:tr>
      <w:tr w:rsidR="00AE62A4" w:rsidRPr="009A413D" w14:paraId="14BFE9EE" w14:textId="77777777" w:rsidTr="00C93C71">
        <w:tc>
          <w:tcPr>
            <w:tcW w:w="1514" w:type="pct"/>
            <w:tcBorders>
              <w:top w:val="nil"/>
              <w:left w:val="nil"/>
              <w:bottom w:val="nil"/>
              <w:right w:val="nil"/>
            </w:tcBorders>
          </w:tcPr>
          <w:p w14:paraId="324C8EB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3E0B336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(0.0102)</w:t>
            </w:r>
          </w:p>
        </w:tc>
        <w:tc>
          <w:tcPr>
            <w:tcW w:w="944" w:type="pct"/>
            <w:tcBorders>
              <w:top w:val="nil"/>
              <w:left w:val="nil"/>
              <w:bottom w:val="nil"/>
              <w:right w:val="nil"/>
            </w:tcBorders>
          </w:tcPr>
          <w:p w14:paraId="4EC0EAF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(0.0118)</w:t>
            </w:r>
          </w:p>
        </w:tc>
        <w:tc>
          <w:tcPr>
            <w:tcW w:w="857" w:type="pct"/>
            <w:tcBorders>
              <w:top w:val="nil"/>
              <w:left w:val="nil"/>
              <w:bottom w:val="nil"/>
              <w:right w:val="nil"/>
            </w:tcBorders>
          </w:tcPr>
          <w:p w14:paraId="5A02BDB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(0.0119)</w:t>
            </w:r>
          </w:p>
        </w:tc>
        <w:tc>
          <w:tcPr>
            <w:tcW w:w="857" w:type="pct"/>
            <w:tcBorders>
              <w:top w:val="nil"/>
              <w:left w:val="nil"/>
              <w:bottom w:val="nil"/>
              <w:right w:val="nil"/>
            </w:tcBorders>
          </w:tcPr>
          <w:p w14:paraId="3634702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(0.0120)</w:t>
            </w:r>
          </w:p>
        </w:tc>
      </w:tr>
      <w:tr w:rsidR="00AE62A4" w:rsidRPr="009A413D" w14:paraId="36C5B1F2" w14:textId="77777777" w:rsidTr="00C93C71">
        <w:tc>
          <w:tcPr>
            <w:tcW w:w="1514" w:type="pct"/>
            <w:tcBorders>
              <w:top w:val="nil"/>
              <w:left w:val="nil"/>
              <w:bottom w:val="nil"/>
              <w:right w:val="nil"/>
            </w:tcBorders>
          </w:tcPr>
          <w:p w14:paraId="217E0DC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7BE4501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00E2057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79F837D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28300E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504EC26C" w14:textId="77777777" w:rsidTr="00C93C71">
        <w:tc>
          <w:tcPr>
            <w:tcW w:w="1514" w:type="pct"/>
            <w:tcBorders>
              <w:top w:val="nil"/>
              <w:left w:val="nil"/>
              <w:bottom w:val="nil"/>
              <w:right w:val="nil"/>
            </w:tcBorders>
          </w:tcPr>
          <w:p w14:paraId="5948749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agriculture</w:t>
            </w:r>
          </w:p>
        </w:tc>
        <w:tc>
          <w:tcPr>
            <w:tcW w:w="828" w:type="pct"/>
            <w:tcBorders>
              <w:top w:val="nil"/>
              <w:left w:val="nil"/>
              <w:bottom w:val="nil"/>
              <w:right w:val="nil"/>
            </w:tcBorders>
          </w:tcPr>
          <w:p w14:paraId="4BACCED8"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-0.105**</w:t>
            </w:r>
          </w:p>
        </w:tc>
        <w:tc>
          <w:tcPr>
            <w:tcW w:w="944" w:type="pct"/>
            <w:tcBorders>
              <w:top w:val="nil"/>
              <w:left w:val="nil"/>
              <w:bottom w:val="nil"/>
              <w:right w:val="nil"/>
            </w:tcBorders>
          </w:tcPr>
          <w:p w14:paraId="3F880B1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-0.0851**</w:t>
            </w:r>
          </w:p>
        </w:tc>
        <w:tc>
          <w:tcPr>
            <w:tcW w:w="857" w:type="pct"/>
            <w:tcBorders>
              <w:top w:val="nil"/>
              <w:left w:val="nil"/>
              <w:bottom w:val="nil"/>
              <w:right w:val="nil"/>
            </w:tcBorders>
          </w:tcPr>
          <w:p w14:paraId="611E23E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-0.0991**</w:t>
            </w:r>
          </w:p>
        </w:tc>
        <w:tc>
          <w:tcPr>
            <w:tcW w:w="857" w:type="pct"/>
            <w:tcBorders>
              <w:top w:val="nil"/>
              <w:left w:val="nil"/>
              <w:bottom w:val="nil"/>
              <w:right w:val="nil"/>
            </w:tcBorders>
          </w:tcPr>
          <w:p w14:paraId="5C55529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-0.0809**</w:t>
            </w:r>
          </w:p>
        </w:tc>
      </w:tr>
      <w:tr w:rsidR="00AE62A4" w:rsidRPr="009A413D" w14:paraId="69123102" w14:textId="77777777" w:rsidTr="00C93C71">
        <w:tc>
          <w:tcPr>
            <w:tcW w:w="1514" w:type="pct"/>
            <w:tcBorders>
              <w:top w:val="nil"/>
              <w:left w:val="nil"/>
              <w:bottom w:val="nil"/>
              <w:right w:val="nil"/>
            </w:tcBorders>
          </w:tcPr>
          <w:p w14:paraId="7885995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3857FB2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(0.0177)</w:t>
            </w:r>
          </w:p>
        </w:tc>
        <w:tc>
          <w:tcPr>
            <w:tcW w:w="944" w:type="pct"/>
            <w:tcBorders>
              <w:top w:val="nil"/>
              <w:left w:val="nil"/>
              <w:bottom w:val="nil"/>
              <w:right w:val="nil"/>
            </w:tcBorders>
          </w:tcPr>
          <w:p w14:paraId="224B576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(0.0207)</w:t>
            </w:r>
          </w:p>
        </w:tc>
        <w:tc>
          <w:tcPr>
            <w:tcW w:w="857" w:type="pct"/>
            <w:tcBorders>
              <w:top w:val="nil"/>
              <w:left w:val="nil"/>
              <w:bottom w:val="nil"/>
              <w:right w:val="nil"/>
            </w:tcBorders>
          </w:tcPr>
          <w:p w14:paraId="3F648F1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(0.0216)</w:t>
            </w:r>
          </w:p>
        </w:tc>
        <w:tc>
          <w:tcPr>
            <w:tcW w:w="857" w:type="pct"/>
            <w:tcBorders>
              <w:top w:val="nil"/>
              <w:left w:val="nil"/>
              <w:bottom w:val="nil"/>
              <w:right w:val="nil"/>
            </w:tcBorders>
          </w:tcPr>
          <w:p w14:paraId="0FD13CB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(0.0236)</w:t>
            </w:r>
          </w:p>
        </w:tc>
      </w:tr>
      <w:tr w:rsidR="00AE62A4" w:rsidRPr="009A413D" w14:paraId="180DC1F3" w14:textId="77777777" w:rsidTr="00C93C71">
        <w:tc>
          <w:tcPr>
            <w:tcW w:w="1514" w:type="pct"/>
            <w:tcBorders>
              <w:top w:val="nil"/>
              <w:left w:val="nil"/>
              <w:bottom w:val="nil"/>
              <w:right w:val="nil"/>
            </w:tcBorders>
          </w:tcPr>
          <w:p w14:paraId="79EF0A5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626CAC08"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7E1095A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5D4942D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5E95132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31A43D8E" w14:textId="77777777" w:rsidTr="00C93C71">
        <w:tc>
          <w:tcPr>
            <w:tcW w:w="1514" w:type="pct"/>
            <w:tcBorders>
              <w:top w:val="nil"/>
              <w:left w:val="nil"/>
              <w:bottom w:val="nil"/>
              <w:right w:val="nil"/>
            </w:tcBorders>
          </w:tcPr>
          <w:p w14:paraId="62D652E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9A413D">
              <w:rPr>
                <w:rFonts w:ascii="Times New Roman" w:eastAsiaTheme="minorEastAsia" w:hAnsi="Times New Roman" w:cs="Times New Roman"/>
                <w:sz w:val="20"/>
                <w:szCs w:val="20"/>
              </w:rPr>
              <w:t>politicalstability</w:t>
            </w:r>
            <w:proofErr w:type="spellEnd"/>
          </w:p>
        </w:tc>
        <w:tc>
          <w:tcPr>
            <w:tcW w:w="828" w:type="pct"/>
            <w:tcBorders>
              <w:top w:val="nil"/>
              <w:left w:val="nil"/>
              <w:bottom w:val="nil"/>
              <w:right w:val="nil"/>
            </w:tcBorders>
          </w:tcPr>
          <w:p w14:paraId="5336662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68F95C3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-0.00822**</w:t>
            </w:r>
          </w:p>
        </w:tc>
        <w:tc>
          <w:tcPr>
            <w:tcW w:w="857" w:type="pct"/>
            <w:tcBorders>
              <w:top w:val="nil"/>
              <w:left w:val="nil"/>
              <w:bottom w:val="nil"/>
              <w:right w:val="nil"/>
            </w:tcBorders>
          </w:tcPr>
          <w:p w14:paraId="41530AA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29CCD21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5A045C68" w14:textId="77777777" w:rsidTr="00C93C71">
        <w:tc>
          <w:tcPr>
            <w:tcW w:w="1514" w:type="pct"/>
            <w:tcBorders>
              <w:top w:val="nil"/>
              <w:left w:val="nil"/>
              <w:bottom w:val="nil"/>
              <w:right w:val="nil"/>
            </w:tcBorders>
          </w:tcPr>
          <w:p w14:paraId="04DA46D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44DC0F7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494A9AB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(0.00294)</w:t>
            </w:r>
          </w:p>
        </w:tc>
        <w:tc>
          <w:tcPr>
            <w:tcW w:w="857" w:type="pct"/>
            <w:tcBorders>
              <w:top w:val="nil"/>
              <w:left w:val="nil"/>
              <w:bottom w:val="nil"/>
              <w:right w:val="nil"/>
            </w:tcBorders>
          </w:tcPr>
          <w:p w14:paraId="4E1DCDF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68748AF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06259CE1" w14:textId="77777777" w:rsidTr="00C93C71">
        <w:tc>
          <w:tcPr>
            <w:tcW w:w="1514" w:type="pct"/>
            <w:tcBorders>
              <w:top w:val="nil"/>
              <w:left w:val="nil"/>
              <w:bottom w:val="nil"/>
              <w:right w:val="nil"/>
            </w:tcBorders>
          </w:tcPr>
          <w:p w14:paraId="7459D57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355F7F0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2B9974A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91E0D1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50E8984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343882B9" w14:textId="77777777" w:rsidTr="00C93C71">
        <w:tc>
          <w:tcPr>
            <w:tcW w:w="1514" w:type="pct"/>
            <w:tcBorders>
              <w:top w:val="nil"/>
              <w:left w:val="nil"/>
              <w:bottom w:val="nil"/>
              <w:right w:val="nil"/>
            </w:tcBorders>
          </w:tcPr>
          <w:p w14:paraId="6C001E1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9A413D">
              <w:rPr>
                <w:rFonts w:ascii="Times New Roman" w:eastAsiaTheme="minorEastAsia" w:hAnsi="Times New Roman" w:cs="Times New Roman"/>
                <w:sz w:val="20"/>
                <w:szCs w:val="20"/>
              </w:rPr>
              <w:t>resourcerent</w:t>
            </w:r>
            <w:proofErr w:type="spellEnd"/>
            <w:r w:rsidRPr="009A413D">
              <w:rPr>
                <w:rFonts w:ascii="Times New Roman" w:eastAsiaTheme="minorEastAsia" w:hAnsi="Times New Roman" w:cs="Times New Roman"/>
                <w:sz w:val="20"/>
                <w:szCs w:val="20"/>
              </w:rPr>
              <w:t>*</w:t>
            </w:r>
            <w:proofErr w:type="spellStart"/>
            <w:r w:rsidRPr="009A413D">
              <w:rPr>
                <w:rFonts w:ascii="Times New Roman" w:eastAsiaTheme="minorEastAsia" w:hAnsi="Times New Roman" w:cs="Times New Roman"/>
                <w:sz w:val="20"/>
                <w:szCs w:val="20"/>
              </w:rPr>
              <w:t>politicalstability</w:t>
            </w:r>
            <w:proofErr w:type="spellEnd"/>
          </w:p>
        </w:tc>
        <w:tc>
          <w:tcPr>
            <w:tcW w:w="828" w:type="pct"/>
            <w:tcBorders>
              <w:top w:val="nil"/>
              <w:left w:val="nil"/>
              <w:bottom w:val="nil"/>
              <w:right w:val="nil"/>
            </w:tcBorders>
          </w:tcPr>
          <w:p w14:paraId="5B8FDEC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3961702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-0.0000491</w:t>
            </w:r>
          </w:p>
        </w:tc>
        <w:tc>
          <w:tcPr>
            <w:tcW w:w="857" w:type="pct"/>
            <w:tcBorders>
              <w:top w:val="nil"/>
              <w:left w:val="nil"/>
              <w:bottom w:val="nil"/>
              <w:right w:val="nil"/>
            </w:tcBorders>
          </w:tcPr>
          <w:p w14:paraId="6A183A1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E789D5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57F245D8" w14:textId="77777777" w:rsidTr="00C93C71">
        <w:tc>
          <w:tcPr>
            <w:tcW w:w="1514" w:type="pct"/>
            <w:tcBorders>
              <w:top w:val="nil"/>
              <w:left w:val="nil"/>
              <w:bottom w:val="nil"/>
              <w:right w:val="nil"/>
            </w:tcBorders>
          </w:tcPr>
          <w:p w14:paraId="76FBB99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320AB8A8"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605ADBD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(0.00855)</w:t>
            </w:r>
          </w:p>
        </w:tc>
        <w:tc>
          <w:tcPr>
            <w:tcW w:w="857" w:type="pct"/>
            <w:tcBorders>
              <w:top w:val="nil"/>
              <w:left w:val="nil"/>
              <w:bottom w:val="nil"/>
              <w:right w:val="nil"/>
            </w:tcBorders>
          </w:tcPr>
          <w:p w14:paraId="18B1E7D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7C18A15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764E9C8B" w14:textId="77777777" w:rsidTr="00C93C71">
        <w:tc>
          <w:tcPr>
            <w:tcW w:w="1514" w:type="pct"/>
            <w:tcBorders>
              <w:top w:val="nil"/>
              <w:left w:val="nil"/>
              <w:bottom w:val="nil"/>
              <w:right w:val="nil"/>
            </w:tcBorders>
          </w:tcPr>
          <w:p w14:paraId="046E550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17BF993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2C64F5D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83841C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61402EC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7EDABDA1" w14:textId="77777777" w:rsidTr="00C93C71">
        <w:tc>
          <w:tcPr>
            <w:tcW w:w="1514" w:type="pct"/>
            <w:tcBorders>
              <w:top w:val="nil"/>
              <w:left w:val="nil"/>
              <w:bottom w:val="nil"/>
              <w:right w:val="nil"/>
            </w:tcBorders>
          </w:tcPr>
          <w:p w14:paraId="40D8790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manufacture*</w:t>
            </w:r>
            <w:proofErr w:type="spellStart"/>
            <w:r w:rsidRPr="009A413D">
              <w:rPr>
                <w:rFonts w:ascii="Times New Roman" w:eastAsiaTheme="minorEastAsia" w:hAnsi="Times New Roman" w:cs="Times New Roman"/>
                <w:sz w:val="20"/>
                <w:szCs w:val="20"/>
              </w:rPr>
              <w:t>politicalstability</w:t>
            </w:r>
            <w:proofErr w:type="spellEnd"/>
          </w:p>
        </w:tc>
        <w:tc>
          <w:tcPr>
            <w:tcW w:w="828" w:type="pct"/>
            <w:tcBorders>
              <w:top w:val="nil"/>
              <w:left w:val="nil"/>
              <w:bottom w:val="nil"/>
              <w:right w:val="nil"/>
            </w:tcBorders>
          </w:tcPr>
          <w:p w14:paraId="4BA8F1F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2B576F7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0.0367**</w:t>
            </w:r>
          </w:p>
        </w:tc>
        <w:tc>
          <w:tcPr>
            <w:tcW w:w="857" w:type="pct"/>
            <w:tcBorders>
              <w:top w:val="nil"/>
              <w:left w:val="nil"/>
              <w:bottom w:val="nil"/>
              <w:right w:val="nil"/>
            </w:tcBorders>
          </w:tcPr>
          <w:p w14:paraId="545B0C4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3F3E66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5DA8F8DD" w14:textId="77777777" w:rsidTr="00C93C71">
        <w:tc>
          <w:tcPr>
            <w:tcW w:w="1514" w:type="pct"/>
            <w:tcBorders>
              <w:top w:val="nil"/>
              <w:left w:val="nil"/>
              <w:bottom w:val="nil"/>
              <w:right w:val="nil"/>
            </w:tcBorders>
          </w:tcPr>
          <w:p w14:paraId="28A9BCE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12BFD31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6411DA8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(0.00788)</w:t>
            </w:r>
          </w:p>
        </w:tc>
        <w:tc>
          <w:tcPr>
            <w:tcW w:w="857" w:type="pct"/>
            <w:tcBorders>
              <w:top w:val="nil"/>
              <w:left w:val="nil"/>
              <w:bottom w:val="nil"/>
              <w:right w:val="nil"/>
            </w:tcBorders>
          </w:tcPr>
          <w:p w14:paraId="1BF9E16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5C48531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1873FBAF" w14:textId="77777777" w:rsidTr="00C93C71">
        <w:tc>
          <w:tcPr>
            <w:tcW w:w="1514" w:type="pct"/>
            <w:tcBorders>
              <w:top w:val="nil"/>
              <w:left w:val="nil"/>
              <w:bottom w:val="nil"/>
              <w:right w:val="nil"/>
            </w:tcBorders>
          </w:tcPr>
          <w:p w14:paraId="3660301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2322D61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0A7B755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D5052C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D85936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575EEA73" w14:textId="77777777" w:rsidTr="00C93C71">
        <w:tc>
          <w:tcPr>
            <w:tcW w:w="1514" w:type="pct"/>
            <w:tcBorders>
              <w:top w:val="nil"/>
              <w:left w:val="nil"/>
              <w:bottom w:val="nil"/>
              <w:right w:val="nil"/>
            </w:tcBorders>
          </w:tcPr>
          <w:p w14:paraId="348B1D5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agriculture*</w:t>
            </w:r>
            <w:proofErr w:type="spellStart"/>
            <w:r w:rsidRPr="009A413D">
              <w:rPr>
                <w:rFonts w:ascii="Times New Roman" w:eastAsiaTheme="minorEastAsia" w:hAnsi="Times New Roman" w:cs="Times New Roman"/>
                <w:sz w:val="20"/>
                <w:szCs w:val="20"/>
              </w:rPr>
              <w:t>politicalstability</w:t>
            </w:r>
            <w:proofErr w:type="spellEnd"/>
          </w:p>
        </w:tc>
        <w:tc>
          <w:tcPr>
            <w:tcW w:w="828" w:type="pct"/>
            <w:tcBorders>
              <w:top w:val="nil"/>
              <w:left w:val="nil"/>
              <w:bottom w:val="nil"/>
              <w:right w:val="nil"/>
            </w:tcBorders>
          </w:tcPr>
          <w:p w14:paraId="57F0CE3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4C23343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0.0233</w:t>
            </w:r>
          </w:p>
        </w:tc>
        <w:tc>
          <w:tcPr>
            <w:tcW w:w="857" w:type="pct"/>
            <w:tcBorders>
              <w:top w:val="nil"/>
              <w:left w:val="nil"/>
              <w:bottom w:val="nil"/>
              <w:right w:val="nil"/>
            </w:tcBorders>
          </w:tcPr>
          <w:p w14:paraId="7D97434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2EFDBD9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15F6FEE7" w14:textId="77777777" w:rsidTr="00C93C71">
        <w:tc>
          <w:tcPr>
            <w:tcW w:w="1514" w:type="pct"/>
            <w:tcBorders>
              <w:top w:val="nil"/>
              <w:left w:val="nil"/>
              <w:bottom w:val="nil"/>
              <w:right w:val="nil"/>
            </w:tcBorders>
          </w:tcPr>
          <w:p w14:paraId="6F55182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2E8BF92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4AE2A33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(0.0146)</w:t>
            </w:r>
          </w:p>
        </w:tc>
        <w:tc>
          <w:tcPr>
            <w:tcW w:w="857" w:type="pct"/>
            <w:tcBorders>
              <w:top w:val="nil"/>
              <w:left w:val="nil"/>
              <w:bottom w:val="nil"/>
              <w:right w:val="nil"/>
            </w:tcBorders>
          </w:tcPr>
          <w:p w14:paraId="739D32F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70B9762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674FDFF1" w14:textId="77777777" w:rsidTr="00C93C71">
        <w:tc>
          <w:tcPr>
            <w:tcW w:w="1514" w:type="pct"/>
            <w:tcBorders>
              <w:top w:val="nil"/>
              <w:left w:val="nil"/>
              <w:bottom w:val="nil"/>
              <w:right w:val="nil"/>
            </w:tcBorders>
          </w:tcPr>
          <w:p w14:paraId="3F9DAF1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1F52268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2D9BB1A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8FA18A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D9063C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2DC14435" w14:textId="77777777" w:rsidTr="00C93C71">
        <w:tc>
          <w:tcPr>
            <w:tcW w:w="1514" w:type="pct"/>
            <w:tcBorders>
              <w:top w:val="nil"/>
              <w:left w:val="nil"/>
              <w:bottom w:val="nil"/>
              <w:right w:val="nil"/>
            </w:tcBorders>
          </w:tcPr>
          <w:p w14:paraId="7E4F11E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9A413D">
              <w:rPr>
                <w:rFonts w:ascii="Times New Roman" w:eastAsiaTheme="minorEastAsia" w:hAnsi="Times New Roman" w:cs="Times New Roman"/>
                <w:sz w:val="20"/>
                <w:szCs w:val="20"/>
              </w:rPr>
              <w:t>regquality</w:t>
            </w:r>
            <w:proofErr w:type="spellEnd"/>
          </w:p>
        </w:tc>
        <w:tc>
          <w:tcPr>
            <w:tcW w:w="828" w:type="pct"/>
            <w:tcBorders>
              <w:top w:val="nil"/>
              <w:left w:val="nil"/>
              <w:bottom w:val="nil"/>
              <w:right w:val="nil"/>
            </w:tcBorders>
          </w:tcPr>
          <w:p w14:paraId="3A6F376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57ACDB0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1D5C9F3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-0.0120**</w:t>
            </w:r>
          </w:p>
        </w:tc>
        <w:tc>
          <w:tcPr>
            <w:tcW w:w="857" w:type="pct"/>
            <w:tcBorders>
              <w:top w:val="nil"/>
              <w:left w:val="nil"/>
              <w:bottom w:val="nil"/>
              <w:right w:val="nil"/>
            </w:tcBorders>
          </w:tcPr>
          <w:p w14:paraId="0555203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07206D6E" w14:textId="77777777" w:rsidTr="00C93C71">
        <w:tc>
          <w:tcPr>
            <w:tcW w:w="1514" w:type="pct"/>
            <w:tcBorders>
              <w:top w:val="nil"/>
              <w:left w:val="nil"/>
              <w:bottom w:val="nil"/>
              <w:right w:val="nil"/>
            </w:tcBorders>
          </w:tcPr>
          <w:p w14:paraId="6A626C8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5CE9AD7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0BB079D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0C3EC4C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(0.00340)</w:t>
            </w:r>
          </w:p>
        </w:tc>
        <w:tc>
          <w:tcPr>
            <w:tcW w:w="857" w:type="pct"/>
            <w:tcBorders>
              <w:top w:val="nil"/>
              <w:left w:val="nil"/>
              <w:bottom w:val="nil"/>
              <w:right w:val="nil"/>
            </w:tcBorders>
          </w:tcPr>
          <w:p w14:paraId="5F1015C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3DB38F84" w14:textId="77777777" w:rsidTr="00C93C71">
        <w:tc>
          <w:tcPr>
            <w:tcW w:w="1514" w:type="pct"/>
            <w:tcBorders>
              <w:top w:val="nil"/>
              <w:left w:val="nil"/>
              <w:bottom w:val="nil"/>
              <w:right w:val="nil"/>
            </w:tcBorders>
          </w:tcPr>
          <w:p w14:paraId="0212CB4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260D7D7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6E9254A8"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7EC6A47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25A17288"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4C4D26FA" w14:textId="77777777" w:rsidTr="00C93C71">
        <w:tc>
          <w:tcPr>
            <w:tcW w:w="1514" w:type="pct"/>
            <w:tcBorders>
              <w:top w:val="nil"/>
              <w:left w:val="nil"/>
              <w:bottom w:val="nil"/>
              <w:right w:val="nil"/>
            </w:tcBorders>
          </w:tcPr>
          <w:p w14:paraId="2C95991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9A413D">
              <w:rPr>
                <w:rFonts w:ascii="Times New Roman" w:eastAsiaTheme="minorEastAsia" w:hAnsi="Times New Roman" w:cs="Times New Roman"/>
                <w:sz w:val="20"/>
                <w:szCs w:val="20"/>
              </w:rPr>
              <w:t>resourcerent</w:t>
            </w:r>
            <w:proofErr w:type="spellEnd"/>
            <w:r w:rsidRPr="009A413D">
              <w:rPr>
                <w:rFonts w:ascii="Times New Roman" w:eastAsiaTheme="minorEastAsia" w:hAnsi="Times New Roman" w:cs="Times New Roman"/>
                <w:sz w:val="20"/>
                <w:szCs w:val="20"/>
              </w:rPr>
              <w:t>*</w:t>
            </w:r>
            <w:proofErr w:type="spellStart"/>
            <w:r w:rsidRPr="009A413D">
              <w:rPr>
                <w:rFonts w:ascii="Times New Roman" w:eastAsiaTheme="minorEastAsia" w:hAnsi="Times New Roman" w:cs="Times New Roman"/>
                <w:sz w:val="20"/>
                <w:szCs w:val="20"/>
              </w:rPr>
              <w:t>regquality</w:t>
            </w:r>
            <w:proofErr w:type="spellEnd"/>
          </w:p>
        </w:tc>
        <w:tc>
          <w:tcPr>
            <w:tcW w:w="828" w:type="pct"/>
            <w:tcBorders>
              <w:top w:val="nil"/>
              <w:left w:val="nil"/>
              <w:bottom w:val="nil"/>
              <w:right w:val="nil"/>
            </w:tcBorders>
          </w:tcPr>
          <w:p w14:paraId="021DDA0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4E42D30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74A6971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-0.00536</w:t>
            </w:r>
          </w:p>
        </w:tc>
        <w:tc>
          <w:tcPr>
            <w:tcW w:w="857" w:type="pct"/>
            <w:tcBorders>
              <w:top w:val="nil"/>
              <w:left w:val="nil"/>
              <w:bottom w:val="nil"/>
              <w:right w:val="nil"/>
            </w:tcBorders>
          </w:tcPr>
          <w:p w14:paraId="3600807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35343053" w14:textId="77777777" w:rsidTr="00C93C71">
        <w:tc>
          <w:tcPr>
            <w:tcW w:w="1514" w:type="pct"/>
            <w:tcBorders>
              <w:top w:val="nil"/>
              <w:left w:val="nil"/>
              <w:bottom w:val="nil"/>
              <w:right w:val="nil"/>
            </w:tcBorders>
          </w:tcPr>
          <w:p w14:paraId="46DD252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2CE81FD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6019610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8AD1E8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(0.0107)</w:t>
            </w:r>
          </w:p>
        </w:tc>
        <w:tc>
          <w:tcPr>
            <w:tcW w:w="857" w:type="pct"/>
            <w:tcBorders>
              <w:top w:val="nil"/>
              <w:left w:val="nil"/>
              <w:bottom w:val="nil"/>
              <w:right w:val="nil"/>
            </w:tcBorders>
          </w:tcPr>
          <w:p w14:paraId="347986C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0B9D7F41" w14:textId="77777777" w:rsidTr="00C93C71">
        <w:tc>
          <w:tcPr>
            <w:tcW w:w="1514" w:type="pct"/>
            <w:tcBorders>
              <w:top w:val="nil"/>
              <w:left w:val="nil"/>
              <w:bottom w:val="nil"/>
              <w:right w:val="nil"/>
            </w:tcBorders>
          </w:tcPr>
          <w:p w14:paraId="2E2EA43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4E5D9C9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784CBD1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300228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273A88C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687F968C" w14:textId="77777777" w:rsidTr="00C93C71">
        <w:tc>
          <w:tcPr>
            <w:tcW w:w="1514" w:type="pct"/>
            <w:tcBorders>
              <w:top w:val="nil"/>
              <w:left w:val="nil"/>
              <w:bottom w:val="nil"/>
              <w:right w:val="nil"/>
            </w:tcBorders>
          </w:tcPr>
          <w:p w14:paraId="34278EF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manufacture*</w:t>
            </w:r>
            <w:proofErr w:type="spellStart"/>
            <w:r w:rsidRPr="009A413D">
              <w:rPr>
                <w:rFonts w:ascii="Times New Roman" w:eastAsiaTheme="minorEastAsia" w:hAnsi="Times New Roman" w:cs="Times New Roman"/>
                <w:sz w:val="20"/>
                <w:szCs w:val="20"/>
              </w:rPr>
              <w:t>regquality</w:t>
            </w:r>
            <w:proofErr w:type="spellEnd"/>
          </w:p>
        </w:tc>
        <w:tc>
          <w:tcPr>
            <w:tcW w:w="828" w:type="pct"/>
            <w:tcBorders>
              <w:top w:val="nil"/>
              <w:left w:val="nil"/>
              <w:bottom w:val="nil"/>
              <w:right w:val="nil"/>
            </w:tcBorders>
          </w:tcPr>
          <w:p w14:paraId="6CA590D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26B1AD5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0954CA5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0.0158</w:t>
            </w:r>
          </w:p>
        </w:tc>
        <w:tc>
          <w:tcPr>
            <w:tcW w:w="857" w:type="pct"/>
            <w:tcBorders>
              <w:top w:val="nil"/>
              <w:left w:val="nil"/>
              <w:bottom w:val="nil"/>
              <w:right w:val="nil"/>
            </w:tcBorders>
          </w:tcPr>
          <w:p w14:paraId="14E3214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4DE0C855" w14:textId="77777777" w:rsidTr="00C93C71">
        <w:tc>
          <w:tcPr>
            <w:tcW w:w="1514" w:type="pct"/>
            <w:tcBorders>
              <w:top w:val="nil"/>
              <w:left w:val="nil"/>
              <w:bottom w:val="nil"/>
              <w:right w:val="nil"/>
            </w:tcBorders>
          </w:tcPr>
          <w:p w14:paraId="01BF743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28D954E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349A878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274ED2B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(0.0116)</w:t>
            </w:r>
          </w:p>
        </w:tc>
        <w:tc>
          <w:tcPr>
            <w:tcW w:w="857" w:type="pct"/>
            <w:tcBorders>
              <w:top w:val="nil"/>
              <w:left w:val="nil"/>
              <w:bottom w:val="nil"/>
              <w:right w:val="nil"/>
            </w:tcBorders>
          </w:tcPr>
          <w:p w14:paraId="15F75E1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2ED830FA" w14:textId="77777777" w:rsidTr="00C93C71">
        <w:tc>
          <w:tcPr>
            <w:tcW w:w="1514" w:type="pct"/>
            <w:tcBorders>
              <w:top w:val="nil"/>
              <w:left w:val="nil"/>
              <w:bottom w:val="nil"/>
              <w:right w:val="nil"/>
            </w:tcBorders>
          </w:tcPr>
          <w:p w14:paraId="43723F0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10E86A0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3F374AE8"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741760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558E86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75205136" w14:textId="77777777" w:rsidTr="00C93C71">
        <w:tc>
          <w:tcPr>
            <w:tcW w:w="1514" w:type="pct"/>
            <w:tcBorders>
              <w:top w:val="nil"/>
              <w:left w:val="nil"/>
              <w:bottom w:val="nil"/>
              <w:right w:val="nil"/>
            </w:tcBorders>
          </w:tcPr>
          <w:p w14:paraId="36DBA8D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agriculture*</w:t>
            </w:r>
            <w:proofErr w:type="spellStart"/>
            <w:r w:rsidRPr="009A413D">
              <w:rPr>
                <w:rFonts w:ascii="Times New Roman" w:eastAsiaTheme="minorEastAsia" w:hAnsi="Times New Roman" w:cs="Times New Roman"/>
                <w:sz w:val="20"/>
                <w:szCs w:val="20"/>
              </w:rPr>
              <w:t>regquality</w:t>
            </w:r>
            <w:proofErr w:type="spellEnd"/>
          </w:p>
        </w:tc>
        <w:tc>
          <w:tcPr>
            <w:tcW w:w="828" w:type="pct"/>
            <w:tcBorders>
              <w:top w:val="nil"/>
              <w:left w:val="nil"/>
              <w:bottom w:val="nil"/>
              <w:right w:val="nil"/>
            </w:tcBorders>
          </w:tcPr>
          <w:p w14:paraId="23E8CE3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353B0D5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57B666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0.0602**</w:t>
            </w:r>
          </w:p>
        </w:tc>
        <w:tc>
          <w:tcPr>
            <w:tcW w:w="857" w:type="pct"/>
            <w:tcBorders>
              <w:top w:val="nil"/>
              <w:left w:val="nil"/>
              <w:bottom w:val="nil"/>
              <w:right w:val="nil"/>
            </w:tcBorders>
          </w:tcPr>
          <w:p w14:paraId="5A15105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7AB44B74" w14:textId="77777777" w:rsidTr="00C93C71">
        <w:tc>
          <w:tcPr>
            <w:tcW w:w="1514" w:type="pct"/>
            <w:tcBorders>
              <w:top w:val="nil"/>
              <w:left w:val="nil"/>
              <w:bottom w:val="nil"/>
              <w:right w:val="nil"/>
            </w:tcBorders>
          </w:tcPr>
          <w:p w14:paraId="73D877A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527254C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072BF2F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C1409C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(0.0227)</w:t>
            </w:r>
          </w:p>
        </w:tc>
        <w:tc>
          <w:tcPr>
            <w:tcW w:w="857" w:type="pct"/>
            <w:tcBorders>
              <w:top w:val="nil"/>
              <w:left w:val="nil"/>
              <w:bottom w:val="nil"/>
              <w:right w:val="nil"/>
            </w:tcBorders>
          </w:tcPr>
          <w:p w14:paraId="67C7E54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4A00E0EB" w14:textId="77777777" w:rsidTr="00C93C71">
        <w:tc>
          <w:tcPr>
            <w:tcW w:w="1514" w:type="pct"/>
            <w:tcBorders>
              <w:top w:val="nil"/>
              <w:left w:val="nil"/>
              <w:bottom w:val="nil"/>
              <w:right w:val="nil"/>
            </w:tcBorders>
          </w:tcPr>
          <w:p w14:paraId="71BF9FD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5F64014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1A92CD1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0CD3280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1BB3564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66476218" w14:textId="77777777" w:rsidTr="00C93C71">
        <w:tc>
          <w:tcPr>
            <w:tcW w:w="1514" w:type="pct"/>
            <w:tcBorders>
              <w:top w:val="nil"/>
              <w:left w:val="nil"/>
              <w:bottom w:val="nil"/>
              <w:right w:val="nil"/>
            </w:tcBorders>
          </w:tcPr>
          <w:p w14:paraId="1EC1610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9A413D">
              <w:rPr>
                <w:rFonts w:ascii="Times New Roman" w:eastAsiaTheme="minorEastAsia" w:hAnsi="Times New Roman" w:cs="Times New Roman"/>
                <w:sz w:val="20"/>
                <w:szCs w:val="20"/>
              </w:rPr>
              <w:t>ruleoflaw</w:t>
            </w:r>
            <w:proofErr w:type="spellEnd"/>
          </w:p>
        </w:tc>
        <w:tc>
          <w:tcPr>
            <w:tcW w:w="828" w:type="pct"/>
            <w:tcBorders>
              <w:top w:val="nil"/>
              <w:left w:val="nil"/>
              <w:bottom w:val="nil"/>
              <w:right w:val="nil"/>
            </w:tcBorders>
          </w:tcPr>
          <w:p w14:paraId="7BB41238"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462BF5E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1F84F5E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ADB9DF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-0.0164**</w:t>
            </w:r>
          </w:p>
        </w:tc>
      </w:tr>
      <w:tr w:rsidR="00AE62A4" w:rsidRPr="009A413D" w14:paraId="2EBA1B6D" w14:textId="77777777" w:rsidTr="00C93C71">
        <w:tc>
          <w:tcPr>
            <w:tcW w:w="1514" w:type="pct"/>
            <w:tcBorders>
              <w:top w:val="nil"/>
              <w:left w:val="nil"/>
              <w:bottom w:val="nil"/>
              <w:right w:val="nil"/>
            </w:tcBorders>
          </w:tcPr>
          <w:p w14:paraId="5B8B255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042510D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1D02E5F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133CE58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223D8F9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(0.00386)</w:t>
            </w:r>
          </w:p>
        </w:tc>
      </w:tr>
      <w:tr w:rsidR="00AE62A4" w:rsidRPr="009A413D" w14:paraId="255B5A2F" w14:textId="77777777" w:rsidTr="00C93C71">
        <w:tc>
          <w:tcPr>
            <w:tcW w:w="1514" w:type="pct"/>
            <w:tcBorders>
              <w:top w:val="nil"/>
              <w:left w:val="nil"/>
              <w:bottom w:val="nil"/>
              <w:right w:val="nil"/>
            </w:tcBorders>
          </w:tcPr>
          <w:p w14:paraId="34BAE55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00FCEBB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01EA717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1A0EBFD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2E34F0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573C5F14" w14:textId="77777777" w:rsidTr="00C93C71">
        <w:tc>
          <w:tcPr>
            <w:tcW w:w="1514" w:type="pct"/>
            <w:tcBorders>
              <w:top w:val="nil"/>
              <w:left w:val="nil"/>
              <w:bottom w:val="nil"/>
              <w:right w:val="nil"/>
            </w:tcBorders>
          </w:tcPr>
          <w:p w14:paraId="3C9F735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roofErr w:type="spellStart"/>
            <w:r w:rsidRPr="009A413D">
              <w:rPr>
                <w:rFonts w:ascii="Times New Roman" w:eastAsiaTheme="minorEastAsia" w:hAnsi="Times New Roman" w:cs="Times New Roman"/>
                <w:sz w:val="20"/>
                <w:szCs w:val="20"/>
              </w:rPr>
              <w:t>resourcerent</w:t>
            </w:r>
            <w:proofErr w:type="spellEnd"/>
            <w:r w:rsidRPr="009A413D">
              <w:rPr>
                <w:rFonts w:ascii="Times New Roman" w:eastAsiaTheme="minorEastAsia" w:hAnsi="Times New Roman" w:cs="Times New Roman"/>
                <w:sz w:val="20"/>
                <w:szCs w:val="20"/>
              </w:rPr>
              <w:t>*</w:t>
            </w:r>
            <w:proofErr w:type="spellStart"/>
            <w:r w:rsidRPr="009A413D">
              <w:rPr>
                <w:rFonts w:ascii="Times New Roman" w:eastAsiaTheme="minorEastAsia" w:hAnsi="Times New Roman" w:cs="Times New Roman"/>
                <w:sz w:val="20"/>
                <w:szCs w:val="20"/>
              </w:rPr>
              <w:t>ruleoflaw</w:t>
            </w:r>
            <w:proofErr w:type="spellEnd"/>
          </w:p>
        </w:tc>
        <w:tc>
          <w:tcPr>
            <w:tcW w:w="828" w:type="pct"/>
            <w:tcBorders>
              <w:top w:val="nil"/>
              <w:left w:val="nil"/>
              <w:bottom w:val="nil"/>
              <w:right w:val="nil"/>
            </w:tcBorders>
          </w:tcPr>
          <w:p w14:paraId="4C17FE1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4F7C528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6F772DD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A270D7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-0.00892</w:t>
            </w:r>
          </w:p>
        </w:tc>
      </w:tr>
      <w:tr w:rsidR="00AE62A4" w:rsidRPr="009A413D" w14:paraId="7CE7BF77" w14:textId="77777777" w:rsidTr="00C93C71">
        <w:tc>
          <w:tcPr>
            <w:tcW w:w="1514" w:type="pct"/>
            <w:tcBorders>
              <w:top w:val="nil"/>
              <w:left w:val="nil"/>
              <w:bottom w:val="nil"/>
              <w:right w:val="nil"/>
            </w:tcBorders>
          </w:tcPr>
          <w:p w14:paraId="42185BB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3B83EA2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4EB9BB9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65F8F1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5B0228E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(0.0121)</w:t>
            </w:r>
          </w:p>
        </w:tc>
      </w:tr>
      <w:tr w:rsidR="00AE62A4" w:rsidRPr="009A413D" w14:paraId="52869DAA" w14:textId="77777777" w:rsidTr="00C93C71">
        <w:tc>
          <w:tcPr>
            <w:tcW w:w="1514" w:type="pct"/>
            <w:tcBorders>
              <w:top w:val="nil"/>
              <w:left w:val="nil"/>
              <w:bottom w:val="nil"/>
              <w:right w:val="nil"/>
            </w:tcBorders>
          </w:tcPr>
          <w:p w14:paraId="61A9361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338DB00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5DA5FC6A"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43D1577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5115F5E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50F2AFB5" w14:textId="77777777" w:rsidTr="00C93C71">
        <w:tc>
          <w:tcPr>
            <w:tcW w:w="1514" w:type="pct"/>
            <w:tcBorders>
              <w:top w:val="nil"/>
              <w:left w:val="nil"/>
              <w:bottom w:val="nil"/>
              <w:right w:val="nil"/>
            </w:tcBorders>
          </w:tcPr>
          <w:p w14:paraId="115B764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manufacture*</w:t>
            </w:r>
            <w:proofErr w:type="spellStart"/>
            <w:r w:rsidRPr="009A413D">
              <w:rPr>
                <w:rFonts w:ascii="Times New Roman" w:eastAsiaTheme="minorEastAsia" w:hAnsi="Times New Roman" w:cs="Times New Roman"/>
                <w:sz w:val="20"/>
                <w:szCs w:val="20"/>
              </w:rPr>
              <w:t>ruleoflaw</w:t>
            </w:r>
            <w:proofErr w:type="spellEnd"/>
          </w:p>
        </w:tc>
        <w:tc>
          <w:tcPr>
            <w:tcW w:w="828" w:type="pct"/>
            <w:tcBorders>
              <w:top w:val="nil"/>
              <w:left w:val="nil"/>
              <w:bottom w:val="nil"/>
              <w:right w:val="nil"/>
            </w:tcBorders>
          </w:tcPr>
          <w:p w14:paraId="7CD61EE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3D6C168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76A8082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274D062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0.0439**</w:t>
            </w:r>
          </w:p>
        </w:tc>
      </w:tr>
      <w:tr w:rsidR="00AE62A4" w:rsidRPr="009A413D" w14:paraId="4F2E34BF" w14:textId="77777777" w:rsidTr="00C93C71">
        <w:tc>
          <w:tcPr>
            <w:tcW w:w="1514" w:type="pct"/>
            <w:tcBorders>
              <w:top w:val="nil"/>
              <w:left w:val="nil"/>
              <w:bottom w:val="nil"/>
              <w:right w:val="nil"/>
            </w:tcBorders>
          </w:tcPr>
          <w:p w14:paraId="094B97E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340F815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51E29DB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7DC9092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24724783"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(0.0116)</w:t>
            </w:r>
          </w:p>
        </w:tc>
      </w:tr>
      <w:tr w:rsidR="00AE62A4" w:rsidRPr="009A413D" w14:paraId="48962489" w14:textId="77777777" w:rsidTr="00C93C71">
        <w:tc>
          <w:tcPr>
            <w:tcW w:w="1514" w:type="pct"/>
            <w:tcBorders>
              <w:top w:val="nil"/>
              <w:left w:val="nil"/>
              <w:bottom w:val="nil"/>
              <w:right w:val="nil"/>
            </w:tcBorders>
          </w:tcPr>
          <w:p w14:paraId="3AAA5A28"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3451710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336A9BE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1BEB856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56A42EC"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0809B4BB" w14:textId="77777777" w:rsidTr="00C93C71">
        <w:tc>
          <w:tcPr>
            <w:tcW w:w="1514" w:type="pct"/>
            <w:tcBorders>
              <w:top w:val="nil"/>
              <w:left w:val="nil"/>
              <w:bottom w:val="nil"/>
              <w:right w:val="nil"/>
            </w:tcBorders>
          </w:tcPr>
          <w:p w14:paraId="43047C9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agriculture*</w:t>
            </w:r>
            <w:proofErr w:type="spellStart"/>
            <w:r w:rsidRPr="009A413D">
              <w:rPr>
                <w:rFonts w:ascii="Times New Roman" w:eastAsiaTheme="minorEastAsia" w:hAnsi="Times New Roman" w:cs="Times New Roman"/>
                <w:sz w:val="20"/>
                <w:szCs w:val="20"/>
              </w:rPr>
              <w:t>ruleoflaw</w:t>
            </w:r>
            <w:proofErr w:type="spellEnd"/>
          </w:p>
        </w:tc>
        <w:tc>
          <w:tcPr>
            <w:tcW w:w="828" w:type="pct"/>
            <w:tcBorders>
              <w:top w:val="nil"/>
              <w:left w:val="nil"/>
              <w:bottom w:val="nil"/>
              <w:right w:val="nil"/>
            </w:tcBorders>
          </w:tcPr>
          <w:p w14:paraId="1E2C075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1A218831"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13728A8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2C38546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0.0667**</w:t>
            </w:r>
          </w:p>
        </w:tc>
      </w:tr>
      <w:tr w:rsidR="00AE62A4" w:rsidRPr="009A413D" w14:paraId="6AC2C19B" w14:textId="77777777" w:rsidTr="00C93C71">
        <w:tc>
          <w:tcPr>
            <w:tcW w:w="1514" w:type="pct"/>
            <w:tcBorders>
              <w:top w:val="nil"/>
              <w:left w:val="nil"/>
              <w:bottom w:val="nil"/>
              <w:right w:val="nil"/>
            </w:tcBorders>
          </w:tcPr>
          <w:p w14:paraId="776712D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484AC90D"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780FD6C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12B089E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19A85B49"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(0.0239)</w:t>
            </w:r>
          </w:p>
        </w:tc>
      </w:tr>
      <w:tr w:rsidR="00AE62A4" w:rsidRPr="009A413D" w14:paraId="2BD57B4F" w14:textId="77777777" w:rsidTr="00C93C71">
        <w:tc>
          <w:tcPr>
            <w:tcW w:w="1514" w:type="pct"/>
            <w:tcBorders>
              <w:top w:val="nil"/>
              <w:left w:val="nil"/>
              <w:bottom w:val="nil"/>
              <w:right w:val="nil"/>
            </w:tcBorders>
          </w:tcPr>
          <w:p w14:paraId="4C8A391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28" w:type="pct"/>
            <w:tcBorders>
              <w:top w:val="nil"/>
              <w:left w:val="nil"/>
              <w:bottom w:val="nil"/>
              <w:right w:val="nil"/>
            </w:tcBorders>
          </w:tcPr>
          <w:p w14:paraId="6DBD02C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944" w:type="pct"/>
            <w:tcBorders>
              <w:top w:val="nil"/>
              <w:left w:val="nil"/>
              <w:bottom w:val="nil"/>
              <w:right w:val="nil"/>
            </w:tcBorders>
          </w:tcPr>
          <w:p w14:paraId="07200A2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733116E8"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c>
          <w:tcPr>
            <w:tcW w:w="857" w:type="pct"/>
            <w:tcBorders>
              <w:top w:val="nil"/>
              <w:left w:val="nil"/>
              <w:bottom w:val="nil"/>
              <w:right w:val="nil"/>
            </w:tcBorders>
          </w:tcPr>
          <w:p w14:paraId="3D48C5B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p>
        </w:tc>
      </w:tr>
      <w:tr w:rsidR="00AE62A4" w:rsidRPr="009A413D" w14:paraId="00B7F1BC" w14:textId="77777777" w:rsidTr="00C93C71">
        <w:tc>
          <w:tcPr>
            <w:tcW w:w="1514" w:type="pct"/>
            <w:tcBorders>
              <w:top w:val="single" w:sz="4" w:space="0" w:color="auto"/>
              <w:left w:val="nil"/>
              <w:bottom w:val="nil"/>
              <w:right w:val="nil"/>
            </w:tcBorders>
          </w:tcPr>
          <w:p w14:paraId="37E85546"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Observations</w:t>
            </w:r>
          </w:p>
        </w:tc>
        <w:tc>
          <w:tcPr>
            <w:tcW w:w="828" w:type="pct"/>
            <w:tcBorders>
              <w:top w:val="single" w:sz="4" w:space="0" w:color="auto"/>
              <w:left w:val="nil"/>
              <w:bottom w:val="nil"/>
              <w:right w:val="nil"/>
            </w:tcBorders>
          </w:tcPr>
          <w:p w14:paraId="671C3485"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524</w:t>
            </w:r>
          </w:p>
        </w:tc>
        <w:tc>
          <w:tcPr>
            <w:tcW w:w="944" w:type="pct"/>
            <w:tcBorders>
              <w:top w:val="single" w:sz="4" w:space="0" w:color="auto"/>
              <w:left w:val="nil"/>
              <w:bottom w:val="nil"/>
              <w:right w:val="nil"/>
            </w:tcBorders>
          </w:tcPr>
          <w:p w14:paraId="4017C73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432</w:t>
            </w:r>
          </w:p>
        </w:tc>
        <w:tc>
          <w:tcPr>
            <w:tcW w:w="857" w:type="pct"/>
            <w:tcBorders>
              <w:top w:val="single" w:sz="4" w:space="0" w:color="auto"/>
              <w:left w:val="nil"/>
              <w:bottom w:val="nil"/>
              <w:right w:val="nil"/>
            </w:tcBorders>
          </w:tcPr>
          <w:p w14:paraId="6B41FD84"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434</w:t>
            </w:r>
          </w:p>
        </w:tc>
        <w:tc>
          <w:tcPr>
            <w:tcW w:w="857" w:type="pct"/>
            <w:tcBorders>
              <w:top w:val="single" w:sz="4" w:space="0" w:color="auto"/>
              <w:left w:val="nil"/>
              <w:bottom w:val="nil"/>
              <w:right w:val="nil"/>
            </w:tcBorders>
          </w:tcPr>
          <w:p w14:paraId="5DA792CF"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434</w:t>
            </w:r>
          </w:p>
        </w:tc>
      </w:tr>
      <w:tr w:rsidR="00AE62A4" w:rsidRPr="009A413D" w14:paraId="7DD8DE51" w14:textId="77777777" w:rsidTr="00C93C71">
        <w:tc>
          <w:tcPr>
            <w:tcW w:w="1514" w:type="pct"/>
            <w:tcBorders>
              <w:top w:val="nil"/>
              <w:left w:val="nil"/>
              <w:bottom w:val="single" w:sz="4" w:space="0" w:color="auto"/>
              <w:right w:val="nil"/>
            </w:tcBorders>
          </w:tcPr>
          <w:p w14:paraId="2BC1674E"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i/>
                <w:iCs/>
                <w:sz w:val="20"/>
                <w:szCs w:val="20"/>
              </w:rPr>
              <w:t>R</w:t>
            </w:r>
            <w:r w:rsidRPr="009A413D">
              <w:rPr>
                <w:rFonts w:ascii="Times New Roman" w:eastAsiaTheme="minorEastAsia" w:hAnsi="Times New Roman" w:cs="Times New Roman"/>
                <w:sz w:val="20"/>
                <w:szCs w:val="20"/>
                <w:vertAlign w:val="superscript"/>
              </w:rPr>
              <w:t>2</w:t>
            </w:r>
          </w:p>
        </w:tc>
        <w:tc>
          <w:tcPr>
            <w:tcW w:w="828" w:type="pct"/>
            <w:tcBorders>
              <w:top w:val="nil"/>
              <w:left w:val="nil"/>
              <w:bottom w:val="single" w:sz="4" w:space="0" w:color="auto"/>
              <w:right w:val="nil"/>
            </w:tcBorders>
          </w:tcPr>
          <w:p w14:paraId="35A4E30B"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0.203</w:t>
            </w:r>
          </w:p>
        </w:tc>
        <w:tc>
          <w:tcPr>
            <w:tcW w:w="944" w:type="pct"/>
            <w:tcBorders>
              <w:top w:val="nil"/>
              <w:left w:val="nil"/>
              <w:bottom w:val="single" w:sz="4" w:space="0" w:color="auto"/>
              <w:right w:val="nil"/>
            </w:tcBorders>
          </w:tcPr>
          <w:p w14:paraId="11A6FBD2"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0.238</w:t>
            </w:r>
          </w:p>
        </w:tc>
        <w:tc>
          <w:tcPr>
            <w:tcW w:w="857" w:type="pct"/>
            <w:tcBorders>
              <w:top w:val="nil"/>
              <w:left w:val="nil"/>
              <w:bottom w:val="single" w:sz="4" w:space="0" w:color="auto"/>
              <w:right w:val="nil"/>
            </w:tcBorders>
          </w:tcPr>
          <w:p w14:paraId="4E1768C7"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0.220</w:t>
            </w:r>
          </w:p>
        </w:tc>
        <w:tc>
          <w:tcPr>
            <w:tcW w:w="857" w:type="pct"/>
            <w:tcBorders>
              <w:top w:val="nil"/>
              <w:left w:val="nil"/>
              <w:bottom w:val="single" w:sz="4" w:space="0" w:color="auto"/>
              <w:right w:val="nil"/>
            </w:tcBorders>
          </w:tcPr>
          <w:p w14:paraId="731B6AB0" w14:textId="77777777" w:rsidR="00AE62A4" w:rsidRPr="009A413D" w:rsidRDefault="00AE62A4" w:rsidP="00C93C71">
            <w:pPr>
              <w:widowControl w:val="0"/>
              <w:autoSpaceDE w:val="0"/>
              <w:autoSpaceDN w:val="0"/>
              <w:adjustRightInd w:val="0"/>
              <w:spacing w:after="0" w:line="240" w:lineRule="auto"/>
              <w:jc w:val="center"/>
              <w:rPr>
                <w:rFonts w:ascii="Times New Roman" w:eastAsiaTheme="minorEastAsia" w:hAnsi="Times New Roman" w:cs="Times New Roman"/>
                <w:sz w:val="20"/>
                <w:szCs w:val="20"/>
              </w:rPr>
            </w:pPr>
            <w:r w:rsidRPr="009A413D">
              <w:rPr>
                <w:rFonts w:ascii="Times New Roman" w:eastAsiaTheme="minorEastAsia" w:hAnsi="Times New Roman" w:cs="Times New Roman"/>
                <w:sz w:val="20"/>
                <w:szCs w:val="20"/>
              </w:rPr>
              <w:t>0.248</w:t>
            </w:r>
          </w:p>
        </w:tc>
      </w:tr>
    </w:tbl>
    <w:p w14:paraId="38035D7F" w14:textId="03D5B759" w:rsidR="00AE62A4" w:rsidRDefault="00AE62A4" w:rsidP="00AE62A4">
      <w:pPr>
        <w:spacing w:after="0" w:line="240" w:lineRule="auto"/>
        <w:ind w:left="-576" w:firstLine="144"/>
        <w:jc w:val="both"/>
        <w:rPr>
          <w:rFonts w:ascii="Times New Roman" w:eastAsiaTheme="minorEastAsia" w:hAnsi="Times New Roman" w:cs="Times New Roman"/>
          <w:i/>
          <w:sz w:val="16"/>
          <w:szCs w:val="16"/>
        </w:rPr>
      </w:pPr>
      <w:r w:rsidRPr="00774092">
        <w:rPr>
          <w:rFonts w:ascii="Times New Roman" w:eastAsiaTheme="minorEastAsia" w:hAnsi="Times New Roman" w:cs="Times New Roman"/>
          <w:i/>
          <w:sz w:val="16"/>
          <w:szCs w:val="16"/>
        </w:rPr>
        <w:t>Note:</w:t>
      </w:r>
      <w:r w:rsidRPr="00774092">
        <w:rPr>
          <w:rFonts w:eastAsiaTheme="minorEastAsia"/>
          <w:sz w:val="16"/>
          <w:szCs w:val="16"/>
        </w:rPr>
        <w:t xml:space="preserve"> </w:t>
      </w:r>
      <w:r w:rsidRPr="00774092">
        <w:rPr>
          <w:rFonts w:ascii="Times New Roman" w:eastAsiaTheme="minorEastAsia" w:hAnsi="Times New Roman" w:cs="Times New Roman"/>
          <w:i/>
          <w:sz w:val="16"/>
          <w:szCs w:val="16"/>
        </w:rPr>
        <w:t>Public education spending is the dependent variable. Fixed effects model is used in all estimations. Point estimates are reported.  Standard errors are shown in parentheses. * Significant at 10%; ** significant at 5%. All regressions include a constant term and year fixed effects (not reported).</w:t>
      </w:r>
    </w:p>
    <w:p w14:paraId="0AB4B237" w14:textId="77777777" w:rsidR="00AE62A4" w:rsidRDefault="00AE62A4" w:rsidP="00AE62A4">
      <w:pPr>
        <w:spacing w:after="0" w:line="240" w:lineRule="auto"/>
        <w:ind w:left="-576" w:firstLine="144"/>
        <w:jc w:val="both"/>
        <w:rPr>
          <w:rFonts w:ascii="Times New Roman" w:eastAsiaTheme="minorEastAsia" w:hAnsi="Times New Roman" w:cs="Times New Roman"/>
          <w:i/>
          <w:sz w:val="16"/>
          <w:szCs w:val="16"/>
        </w:rPr>
      </w:pPr>
    </w:p>
    <w:p w14:paraId="44E06A30" w14:textId="77777777" w:rsidR="00686C7B" w:rsidRDefault="00686C7B" w:rsidP="00AE62A4">
      <w:pPr>
        <w:spacing w:after="0" w:line="240" w:lineRule="auto"/>
        <w:ind w:left="-576" w:firstLine="144"/>
        <w:jc w:val="both"/>
        <w:rPr>
          <w:rFonts w:ascii="Times New Roman" w:eastAsiaTheme="minorEastAsia" w:hAnsi="Times New Roman" w:cs="Times New Roman"/>
          <w:i/>
          <w:sz w:val="16"/>
          <w:szCs w:val="16"/>
        </w:rPr>
      </w:pPr>
    </w:p>
    <w:p w14:paraId="5125AE7D" w14:textId="77777777" w:rsidR="00AE62A4" w:rsidRDefault="00AE62A4" w:rsidP="00AE62A4">
      <w:pPr>
        <w:spacing w:after="0" w:line="240" w:lineRule="auto"/>
        <w:ind w:left="-576" w:firstLine="144"/>
        <w:jc w:val="both"/>
        <w:rPr>
          <w:rFonts w:ascii="Times New Roman" w:eastAsiaTheme="minorEastAsia" w:hAnsi="Times New Roman" w:cs="Times New Roman"/>
          <w:sz w:val="24"/>
          <w:szCs w:val="24"/>
        </w:rPr>
      </w:pPr>
    </w:p>
    <w:p w14:paraId="7F0B06C8" w14:textId="32ED7D02" w:rsidR="002736E5" w:rsidRPr="00686C7B" w:rsidRDefault="00044841" w:rsidP="00686C7B">
      <w:pPr>
        <w:pStyle w:val="ListParagraph"/>
        <w:numPr>
          <w:ilvl w:val="0"/>
          <w:numId w:val="9"/>
        </w:numPr>
        <w:spacing w:after="120" w:line="240" w:lineRule="auto"/>
        <w:ind w:left="-74" w:hanging="357"/>
        <w:jc w:val="both"/>
        <w:rPr>
          <w:rFonts w:ascii="Times New Roman" w:eastAsiaTheme="minorEastAsia" w:hAnsi="Times New Roman" w:cs="Times New Roman"/>
          <w:b/>
          <w:sz w:val="20"/>
          <w:szCs w:val="20"/>
        </w:rPr>
      </w:pPr>
      <w:r w:rsidRPr="00686C7B">
        <w:rPr>
          <w:rFonts w:ascii="Times New Roman" w:eastAsiaTheme="minorEastAsia" w:hAnsi="Times New Roman" w:cs="Times New Roman"/>
          <w:b/>
          <w:sz w:val="20"/>
          <w:szCs w:val="20"/>
        </w:rPr>
        <w:lastRenderedPageBreak/>
        <w:t>C</w:t>
      </w:r>
      <w:r w:rsidR="00387E7E" w:rsidRPr="00686C7B">
        <w:rPr>
          <w:rFonts w:ascii="Times New Roman" w:eastAsiaTheme="minorEastAsia" w:hAnsi="Times New Roman" w:cs="Times New Roman"/>
          <w:b/>
          <w:sz w:val="20"/>
          <w:szCs w:val="20"/>
        </w:rPr>
        <w:t>oncluding</w:t>
      </w:r>
      <w:r w:rsidRPr="00686C7B">
        <w:rPr>
          <w:rFonts w:ascii="Times New Roman" w:eastAsiaTheme="minorEastAsia" w:hAnsi="Times New Roman" w:cs="Times New Roman"/>
          <w:b/>
          <w:sz w:val="20"/>
          <w:szCs w:val="20"/>
        </w:rPr>
        <w:t xml:space="preserve"> R</w:t>
      </w:r>
      <w:r w:rsidR="00387E7E" w:rsidRPr="00686C7B">
        <w:rPr>
          <w:rFonts w:ascii="Times New Roman" w:eastAsiaTheme="minorEastAsia" w:hAnsi="Times New Roman" w:cs="Times New Roman"/>
          <w:b/>
          <w:sz w:val="20"/>
          <w:szCs w:val="20"/>
        </w:rPr>
        <w:t>emarks</w:t>
      </w:r>
      <w:r w:rsidRPr="00686C7B">
        <w:rPr>
          <w:rFonts w:ascii="Times New Roman" w:eastAsiaTheme="minorEastAsia" w:hAnsi="Times New Roman" w:cs="Times New Roman"/>
          <w:b/>
          <w:sz w:val="20"/>
          <w:szCs w:val="20"/>
        </w:rPr>
        <w:t xml:space="preserve"> </w:t>
      </w:r>
    </w:p>
    <w:p w14:paraId="65101D7E" w14:textId="1815AE59" w:rsidR="002736E5" w:rsidRPr="00686C7B" w:rsidRDefault="002736E5"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 xml:space="preserve">This paper presents empirical results about the effect of </w:t>
      </w:r>
      <w:r w:rsidR="00704963" w:rsidRPr="00686C7B">
        <w:rPr>
          <w:rFonts w:ascii="Times New Roman" w:eastAsiaTheme="minorEastAsia" w:hAnsi="Times New Roman" w:cs="Times New Roman"/>
          <w:sz w:val="20"/>
          <w:szCs w:val="20"/>
        </w:rPr>
        <w:t xml:space="preserve">lobbying power </w:t>
      </w:r>
      <w:r w:rsidRPr="00686C7B">
        <w:rPr>
          <w:rFonts w:ascii="Times New Roman" w:eastAsiaTheme="minorEastAsia" w:hAnsi="Times New Roman" w:cs="Times New Roman"/>
          <w:sz w:val="20"/>
          <w:szCs w:val="20"/>
        </w:rPr>
        <w:t xml:space="preserve">of different </w:t>
      </w:r>
      <w:r w:rsidR="00D92C25" w:rsidRPr="00686C7B">
        <w:rPr>
          <w:rFonts w:ascii="Times New Roman" w:eastAsiaTheme="minorEastAsia" w:hAnsi="Times New Roman" w:cs="Times New Roman"/>
          <w:sz w:val="20"/>
          <w:szCs w:val="20"/>
        </w:rPr>
        <w:t>interest groups</w:t>
      </w:r>
      <w:r w:rsidRPr="00686C7B">
        <w:rPr>
          <w:rFonts w:ascii="Times New Roman" w:eastAsiaTheme="minorEastAsia" w:hAnsi="Times New Roman" w:cs="Times New Roman"/>
          <w:sz w:val="20"/>
          <w:szCs w:val="20"/>
        </w:rPr>
        <w:t xml:space="preserve"> on public education spending in </w:t>
      </w:r>
      <w:r w:rsidR="00704963" w:rsidRPr="00686C7B">
        <w:rPr>
          <w:rFonts w:ascii="Times New Roman" w:eastAsiaTheme="minorEastAsia" w:hAnsi="Times New Roman" w:cs="Times New Roman"/>
          <w:sz w:val="20"/>
          <w:szCs w:val="20"/>
        </w:rPr>
        <w:t xml:space="preserve">a </w:t>
      </w:r>
      <w:r w:rsidR="00251A1B" w:rsidRPr="00686C7B">
        <w:rPr>
          <w:rFonts w:ascii="Times New Roman" w:eastAsiaTheme="minorEastAsia" w:hAnsi="Times New Roman" w:cs="Times New Roman"/>
          <w:sz w:val="20"/>
          <w:szCs w:val="20"/>
        </w:rPr>
        <w:t>panel data estimation</w:t>
      </w:r>
      <w:r w:rsidR="00CA1636" w:rsidRPr="00686C7B">
        <w:rPr>
          <w:rFonts w:ascii="Times New Roman" w:eastAsiaTheme="minorEastAsia" w:hAnsi="Times New Roman" w:cs="Times New Roman"/>
          <w:sz w:val="20"/>
          <w:szCs w:val="20"/>
        </w:rPr>
        <w:t xml:space="preserve"> during the period 1996-2009 for 132 countries</w:t>
      </w:r>
      <w:r w:rsidRPr="00686C7B">
        <w:rPr>
          <w:rFonts w:ascii="Times New Roman" w:eastAsiaTheme="minorEastAsia" w:hAnsi="Times New Roman" w:cs="Times New Roman"/>
          <w:sz w:val="20"/>
          <w:szCs w:val="20"/>
        </w:rPr>
        <w:t>.</w:t>
      </w:r>
      <w:r w:rsidR="00CA1636"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 xml:space="preserve">Macroeconomic indicators are used as proxy variables to define the </w:t>
      </w:r>
      <w:r w:rsidR="00704963" w:rsidRPr="00686C7B">
        <w:rPr>
          <w:rFonts w:ascii="Times New Roman" w:eastAsiaTheme="minorEastAsia" w:hAnsi="Times New Roman" w:cs="Times New Roman"/>
          <w:sz w:val="20"/>
          <w:szCs w:val="20"/>
        </w:rPr>
        <w:t xml:space="preserve">lobbying power </w:t>
      </w:r>
      <w:r w:rsidRPr="00686C7B">
        <w:rPr>
          <w:rFonts w:ascii="Times New Roman" w:eastAsiaTheme="minorEastAsia" w:hAnsi="Times New Roman" w:cs="Times New Roman"/>
          <w:sz w:val="20"/>
          <w:szCs w:val="20"/>
        </w:rPr>
        <w:t xml:space="preserve">of the </w:t>
      </w:r>
      <w:r w:rsidR="00D92C25" w:rsidRPr="00686C7B">
        <w:rPr>
          <w:rFonts w:ascii="Times New Roman" w:eastAsiaTheme="minorEastAsia" w:hAnsi="Times New Roman" w:cs="Times New Roman"/>
          <w:sz w:val="20"/>
          <w:szCs w:val="20"/>
        </w:rPr>
        <w:t xml:space="preserve">interest groups </w:t>
      </w:r>
      <w:r w:rsidR="00CA1636" w:rsidRPr="00686C7B">
        <w:rPr>
          <w:rFonts w:ascii="Times New Roman" w:eastAsiaTheme="minorEastAsia" w:hAnsi="Times New Roman" w:cs="Times New Roman"/>
          <w:sz w:val="20"/>
          <w:szCs w:val="20"/>
        </w:rPr>
        <w:t xml:space="preserve">in order to substantiate the definition of lobbying power with economic fundamentals, and </w:t>
      </w:r>
      <w:r w:rsidR="00D92C25" w:rsidRPr="00686C7B">
        <w:rPr>
          <w:rFonts w:ascii="Times New Roman" w:eastAsiaTheme="minorEastAsia" w:hAnsi="Times New Roman" w:cs="Times New Roman"/>
          <w:sz w:val="20"/>
          <w:szCs w:val="20"/>
        </w:rPr>
        <w:t xml:space="preserve">so </w:t>
      </w:r>
      <w:r w:rsidR="00CA1636" w:rsidRPr="00686C7B">
        <w:rPr>
          <w:rFonts w:ascii="Times New Roman" w:eastAsiaTheme="minorEastAsia" w:hAnsi="Times New Roman" w:cs="Times New Roman"/>
          <w:sz w:val="20"/>
          <w:szCs w:val="20"/>
        </w:rPr>
        <w:t xml:space="preserve">generate a mapping from </w:t>
      </w:r>
      <w:r w:rsidR="00D92C25" w:rsidRPr="00686C7B">
        <w:rPr>
          <w:rFonts w:ascii="Times New Roman" w:eastAsiaTheme="minorEastAsia" w:hAnsi="Times New Roman" w:cs="Times New Roman"/>
          <w:sz w:val="20"/>
          <w:szCs w:val="20"/>
        </w:rPr>
        <w:t xml:space="preserve">the economic contribution to aggregate output and portion of resources </w:t>
      </w:r>
      <w:r w:rsidR="00CA1636" w:rsidRPr="00686C7B">
        <w:rPr>
          <w:rFonts w:ascii="Times New Roman" w:eastAsiaTheme="minorEastAsia" w:hAnsi="Times New Roman" w:cs="Times New Roman"/>
          <w:sz w:val="20"/>
          <w:szCs w:val="20"/>
        </w:rPr>
        <w:t>to lobbying power</w:t>
      </w:r>
      <w:r w:rsidRPr="00686C7B">
        <w:rPr>
          <w:rFonts w:ascii="Times New Roman" w:eastAsiaTheme="minorEastAsia" w:hAnsi="Times New Roman" w:cs="Times New Roman"/>
          <w:sz w:val="20"/>
          <w:szCs w:val="20"/>
        </w:rPr>
        <w:t>.</w:t>
      </w:r>
      <w:r w:rsidR="00CA1636" w:rsidRPr="00686C7B">
        <w:rPr>
          <w:rFonts w:ascii="Times New Roman" w:eastAsiaTheme="minorEastAsia" w:hAnsi="Times New Roman" w:cs="Times New Roman"/>
          <w:sz w:val="20"/>
          <w:szCs w:val="20"/>
        </w:rPr>
        <w:t xml:space="preserve"> </w:t>
      </w:r>
      <w:r w:rsidR="00610C92" w:rsidRPr="00686C7B">
        <w:rPr>
          <w:rFonts w:ascii="Times New Roman" w:eastAsiaTheme="minorEastAsia" w:hAnsi="Times New Roman" w:cs="Times New Roman"/>
          <w:sz w:val="20"/>
          <w:szCs w:val="20"/>
        </w:rPr>
        <w:t>The</w:t>
      </w:r>
      <w:r w:rsidRPr="00686C7B">
        <w:rPr>
          <w:rFonts w:ascii="Times New Roman" w:eastAsiaTheme="minorEastAsia" w:hAnsi="Times New Roman" w:cs="Times New Roman"/>
          <w:sz w:val="20"/>
          <w:szCs w:val="20"/>
        </w:rPr>
        <w:t xml:space="preserve"> governance indicators</w:t>
      </w:r>
      <w:r w:rsidR="00610C92" w:rsidRPr="00686C7B">
        <w:rPr>
          <w:rFonts w:ascii="Times New Roman" w:eastAsiaTheme="minorEastAsia" w:hAnsi="Times New Roman" w:cs="Times New Roman"/>
          <w:sz w:val="20"/>
          <w:szCs w:val="20"/>
        </w:rPr>
        <w:t>,</w:t>
      </w:r>
      <w:r w:rsidRPr="00686C7B">
        <w:rPr>
          <w:rFonts w:ascii="Times New Roman" w:eastAsiaTheme="minorEastAsia" w:hAnsi="Times New Roman" w:cs="Times New Roman"/>
          <w:sz w:val="20"/>
          <w:szCs w:val="20"/>
        </w:rPr>
        <w:t xml:space="preserve"> </w:t>
      </w:r>
      <w:r w:rsidR="00D92C25" w:rsidRPr="00686C7B">
        <w:rPr>
          <w:rFonts w:ascii="Times New Roman" w:eastAsiaTheme="minorEastAsia" w:hAnsi="Times New Roman" w:cs="Times New Roman"/>
          <w:sz w:val="20"/>
          <w:szCs w:val="20"/>
        </w:rPr>
        <w:t xml:space="preserve">corruption control, government effectiveness, </w:t>
      </w:r>
      <w:r w:rsidR="00610C92" w:rsidRPr="00686C7B">
        <w:rPr>
          <w:rFonts w:ascii="Times New Roman" w:eastAsiaTheme="minorEastAsia" w:hAnsi="Times New Roman" w:cs="Times New Roman"/>
          <w:sz w:val="20"/>
          <w:szCs w:val="20"/>
        </w:rPr>
        <w:t>political stability</w:t>
      </w:r>
      <w:r w:rsidR="00DF22AB" w:rsidRPr="00686C7B">
        <w:rPr>
          <w:rFonts w:ascii="Times New Roman" w:eastAsiaTheme="minorEastAsia" w:hAnsi="Times New Roman" w:cs="Times New Roman"/>
          <w:sz w:val="20"/>
          <w:szCs w:val="20"/>
        </w:rPr>
        <w:t>-</w:t>
      </w:r>
      <w:r w:rsidR="00610C92" w:rsidRPr="00686C7B">
        <w:rPr>
          <w:rFonts w:ascii="Times New Roman" w:eastAsiaTheme="minorEastAsia" w:hAnsi="Times New Roman" w:cs="Times New Roman"/>
          <w:sz w:val="20"/>
          <w:szCs w:val="20"/>
        </w:rPr>
        <w:t xml:space="preserve">absence of violence, regulatory quality, and rule of law, </w:t>
      </w:r>
      <w:r w:rsidRPr="00686C7B">
        <w:rPr>
          <w:rFonts w:ascii="Times New Roman" w:eastAsiaTheme="minorEastAsia" w:hAnsi="Times New Roman" w:cs="Times New Roman"/>
          <w:sz w:val="20"/>
          <w:szCs w:val="20"/>
        </w:rPr>
        <w:t xml:space="preserve">are used to explore how the political </w:t>
      </w:r>
      <w:r w:rsidR="00704963" w:rsidRPr="00686C7B">
        <w:rPr>
          <w:rFonts w:ascii="Times New Roman" w:eastAsiaTheme="minorEastAsia" w:hAnsi="Times New Roman" w:cs="Times New Roman"/>
          <w:sz w:val="20"/>
          <w:szCs w:val="20"/>
        </w:rPr>
        <w:t xml:space="preserve">power </w:t>
      </w:r>
      <w:r w:rsidRPr="00686C7B">
        <w:rPr>
          <w:rFonts w:ascii="Times New Roman" w:eastAsiaTheme="minorEastAsia" w:hAnsi="Times New Roman" w:cs="Times New Roman"/>
          <w:sz w:val="20"/>
          <w:szCs w:val="20"/>
        </w:rPr>
        <w:t xml:space="preserve">of </w:t>
      </w:r>
      <w:r w:rsidR="00D92C25" w:rsidRPr="00686C7B">
        <w:rPr>
          <w:rFonts w:ascii="Times New Roman" w:eastAsiaTheme="minorEastAsia" w:hAnsi="Times New Roman" w:cs="Times New Roman"/>
          <w:sz w:val="20"/>
          <w:szCs w:val="20"/>
        </w:rPr>
        <w:t xml:space="preserve">interest group </w:t>
      </w:r>
      <w:r w:rsidRPr="00686C7B">
        <w:rPr>
          <w:rFonts w:ascii="Times New Roman" w:eastAsiaTheme="minorEastAsia" w:hAnsi="Times New Roman" w:cs="Times New Roman"/>
          <w:sz w:val="20"/>
          <w:szCs w:val="20"/>
        </w:rPr>
        <w:t xml:space="preserve">interacts with the different aspects of institutions, and how these interactions affect the overall relationship between the </w:t>
      </w:r>
      <w:r w:rsidR="00D92C25" w:rsidRPr="00686C7B">
        <w:rPr>
          <w:rFonts w:ascii="Times New Roman" w:eastAsiaTheme="minorEastAsia" w:hAnsi="Times New Roman" w:cs="Times New Roman"/>
          <w:sz w:val="20"/>
          <w:szCs w:val="20"/>
        </w:rPr>
        <w:t xml:space="preserve">interest </w:t>
      </w:r>
      <w:r w:rsidRPr="00686C7B">
        <w:rPr>
          <w:rFonts w:ascii="Times New Roman" w:eastAsiaTheme="minorEastAsia" w:hAnsi="Times New Roman" w:cs="Times New Roman"/>
          <w:sz w:val="20"/>
          <w:szCs w:val="20"/>
        </w:rPr>
        <w:t>groups’</w:t>
      </w:r>
      <w:r w:rsidR="003B56CB" w:rsidRPr="00686C7B">
        <w:rPr>
          <w:rFonts w:ascii="Times New Roman" w:eastAsiaTheme="minorEastAsia" w:hAnsi="Times New Roman" w:cs="Times New Roman"/>
          <w:sz w:val="20"/>
          <w:szCs w:val="20"/>
        </w:rPr>
        <w:t xml:space="preserve"> lobbying power </w:t>
      </w:r>
      <w:r w:rsidRPr="00686C7B">
        <w:rPr>
          <w:rFonts w:ascii="Times New Roman" w:eastAsiaTheme="minorEastAsia" w:hAnsi="Times New Roman" w:cs="Times New Roman"/>
          <w:sz w:val="20"/>
          <w:szCs w:val="20"/>
        </w:rPr>
        <w:t xml:space="preserve">and public education spending. </w:t>
      </w:r>
    </w:p>
    <w:p w14:paraId="364847E9" w14:textId="4B3CF6C6" w:rsidR="002736E5" w:rsidRPr="00686C7B" w:rsidRDefault="00D92C25"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Natural r</w:t>
      </w:r>
      <w:r w:rsidR="002736E5" w:rsidRPr="00686C7B">
        <w:rPr>
          <w:rFonts w:ascii="Times New Roman" w:eastAsiaTheme="minorEastAsia" w:hAnsi="Times New Roman" w:cs="Times New Roman"/>
          <w:sz w:val="20"/>
          <w:szCs w:val="20"/>
        </w:rPr>
        <w:t xml:space="preserve">esource rent is assumed as the proxy variable to represent the </w:t>
      </w:r>
      <w:r w:rsidRPr="00686C7B">
        <w:rPr>
          <w:rFonts w:ascii="Times New Roman" w:eastAsiaTheme="minorEastAsia" w:hAnsi="Times New Roman" w:cs="Times New Roman"/>
          <w:sz w:val="20"/>
          <w:szCs w:val="20"/>
        </w:rPr>
        <w:t xml:space="preserve">lobbying </w:t>
      </w:r>
      <w:r w:rsidR="003B56CB" w:rsidRPr="00686C7B">
        <w:rPr>
          <w:rFonts w:ascii="Times New Roman" w:eastAsiaTheme="minorEastAsia" w:hAnsi="Times New Roman" w:cs="Times New Roman"/>
          <w:sz w:val="20"/>
          <w:szCs w:val="20"/>
        </w:rPr>
        <w:t>power</w:t>
      </w:r>
      <w:r w:rsidR="002736E5" w:rsidRPr="00686C7B">
        <w:rPr>
          <w:rFonts w:ascii="Times New Roman" w:eastAsiaTheme="minorEastAsia" w:hAnsi="Times New Roman" w:cs="Times New Roman"/>
          <w:sz w:val="20"/>
          <w:szCs w:val="20"/>
        </w:rPr>
        <w:t xml:space="preserve"> of the </w:t>
      </w:r>
      <w:r w:rsidR="00251A1B" w:rsidRPr="00686C7B">
        <w:rPr>
          <w:rFonts w:ascii="Times New Roman" w:eastAsiaTheme="minorEastAsia" w:hAnsi="Times New Roman" w:cs="Times New Roman"/>
          <w:sz w:val="20"/>
          <w:szCs w:val="20"/>
        </w:rPr>
        <w:t>n</w:t>
      </w:r>
      <w:r w:rsidR="002736E5" w:rsidRPr="00686C7B">
        <w:rPr>
          <w:rFonts w:ascii="Times New Roman" w:eastAsiaTheme="minorEastAsia" w:hAnsi="Times New Roman" w:cs="Times New Roman"/>
          <w:sz w:val="20"/>
          <w:szCs w:val="20"/>
        </w:rPr>
        <w:t>atural resource owners. It shows a direct negative effect on public education spending. The interaction term</w:t>
      </w:r>
      <w:r w:rsidR="00251A1B" w:rsidRPr="00686C7B">
        <w:rPr>
          <w:rFonts w:ascii="Times New Roman" w:eastAsiaTheme="minorEastAsia" w:hAnsi="Times New Roman" w:cs="Times New Roman"/>
          <w:sz w:val="20"/>
          <w:szCs w:val="20"/>
        </w:rPr>
        <w:t>s</w:t>
      </w:r>
      <w:r w:rsidR="002736E5" w:rsidRPr="00686C7B">
        <w:rPr>
          <w:rFonts w:ascii="Times New Roman" w:eastAsiaTheme="minorEastAsia" w:hAnsi="Times New Roman" w:cs="Times New Roman"/>
          <w:sz w:val="20"/>
          <w:szCs w:val="20"/>
        </w:rPr>
        <w:t xml:space="preserve"> of </w:t>
      </w:r>
      <w:r w:rsidR="00251A1B" w:rsidRPr="00686C7B">
        <w:rPr>
          <w:rFonts w:ascii="Times New Roman" w:eastAsiaTheme="minorEastAsia" w:hAnsi="Times New Roman" w:cs="Times New Roman"/>
          <w:sz w:val="20"/>
          <w:szCs w:val="20"/>
        </w:rPr>
        <w:t>r</w:t>
      </w:r>
      <w:r w:rsidR="002736E5" w:rsidRPr="00686C7B">
        <w:rPr>
          <w:rFonts w:ascii="Times New Roman" w:eastAsiaTheme="minorEastAsia" w:hAnsi="Times New Roman" w:cs="Times New Roman"/>
          <w:sz w:val="20"/>
          <w:szCs w:val="20"/>
        </w:rPr>
        <w:t xml:space="preserve">esource rent with </w:t>
      </w:r>
      <w:r w:rsidRPr="00686C7B">
        <w:rPr>
          <w:rFonts w:ascii="Times New Roman" w:eastAsiaTheme="minorEastAsia" w:hAnsi="Times New Roman" w:cs="Times New Roman"/>
          <w:sz w:val="20"/>
          <w:szCs w:val="20"/>
        </w:rPr>
        <w:t xml:space="preserve">governance indicators </w:t>
      </w:r>
      <w:r w:rsidR="002736E5" w:rsidRPr="00686C7B">
        <w:rPr>
          <w:rFonts w:ascii="Times New Roman" w:eastAsiaTheme="minorEastAsia" w:hAnsi="Times New Roman" w:cs="Times New Roman"/>
          <w:sz w:val="20"/>
          <w:szCs w:val="20"/>
        </w:rPr>
        <w:t xml:space="preserve">also contribute significantly to the overall impact of </w:t>
      </w:r>
      <w:r w:rsidR="00251A1B" w:rsidRPr="00686C7B">
        <w:rPr>
          <w:rFonts w:ascii="Times New Roman" w:eastAsiaTheme="minorEastAsia" w:hAnsi="Times New Roman" w:cs="Times New Roman"/>
          <w:sz w:val="20"/>
          <w:szCs w:val="20"/>
        </w:rPr>
        <w:t>n</w:t>
      </w:r>
      <w:r w:rsidR="002736E5" w:rsidRPr="00686C7B">
        <w:rPr>
          <w:rFonts w:ascii="Times New Roman" w:eastAsiaTheme="minorEastAsia" w:hAnsi="Times New Roman" w:cs="Times New Roman"/>
          <w:sz w:val="20"/>
          <w:szCs w:val="20"/>
        </w:rPr>
        <w:t>atural resource owners</w:t>
      </w:r>
      <w:r w:rsidR="003B56CB" w:rsidRPr="00686C7B">
        <w:rPr>
          <w:rFonts w:ascii="Times New Roman" w:eastAsiaTheme="minorEastAsia" w:hAnsi="Times New Roman" w:cs="Times New Roman"/>
          <w:sz w:val="20"/>
          <w:szCs w:val="20"/>
        </w:rPr>
        <w:t>’ lobbying power</w:t>
      </w:r>
      <w:r w:rsidR="002736E5"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 xml:space="preserve">When institutional quality increases the direct negative effect of natural resource owners’ economic and lobbying power get stronger. </w:t>
      </w:r>
    </w:p>
    <w:p w14:paraId="0DFB8705" w14:textId="622CD16F" w:rsidR="002736E5" w:rsidRPr="00686C7B" w:rsidRDefault="002736E5"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 xml:space="preserve">In most regressions </w:t>
      </w:r>
      <w:r w:rsidR="00251A1B" w:rsidRPr="00686C7B">
        <w:rPr>
          <w:rFonts w:ascii="Times New Roman" w:eastAsiaTheme="minorEastAsia" w:hAnsi="Times New Roman" w:cs="Times New Roman"/>
          <w:sz w:val="20"/>
          <w:szCs w:val="20"/>
        </w:rPr>
        <w:t>m</w:t>
      </w:r>
      <w:r w:rsidRPr="00686C7B">
        <w:rPr>
          <w:rFonts w:ascii="Times New Roman" w:eastAsiaTheme="minorEastAsia" w:hAnsi="Times New Roman" w:cs="Times New Roman"/>
          <w:sz w:val="20"/>
          <w:szCs w:val="20"/>
        </w:rPr>
        <w:t xml:space="preserve">anufacture export, the proxy variable assumed to define the </w:t>
      </w:r>
      <w:r w:rsidR="003B56CB" w:rsidRPr="00686C7B">
        <w:rPr>
          <w:rFonts w:ascii="Times New Roman" w:eastAsiaTheme="minorEastAsia" w:hAnsi="Times New Roman" w:cs="Times New Roman"/>
          <w:sz w:val="20"/>
          <w:szCs w:val="20"/>
        </w:rPr>
        <w:t xml:space="preserve">lobbying power </w:t>
      </w:r>
      <w:r w:rsidRPr="00686C7B">
        <w:rPr>
          <w:rFonts w:ascii="Times New Roman" w:eastAsiaTheme="minorEastAsia" w:hAnsi="Times New Roman" w:cs="Times New Roman"/>
          <w:sz w:val="20"/>
          <w:szCs w:val="20"/>
        </w:rPr>
        <w:t xml:space="preserve">of the </w:t>
      </w:r>
      <w:r w:rsidR="00251A1B" w:rsidRPr="00686C7B">
        <w:rPr>
          <w:rFonts w:ascii="Times New Roman" w:eastAsiaTheme="minorEastAsia" w:hAnsi="Times New Roman" w:cs="Times New Roman"/>
          <w:sz w:val="20"/>
          <w:szCs w:val="20"/>
        </w:rPr>
        <w:t>m</w:t>
      </w:r>
      <w:r w:rsidRPr="00686C7B">
        <w:rPr>
          <w:rFonts w:ascii="Times New Roman" w:eastAsiaTheme="minorEastAsia" w:hAnsi="Times New Roman" w:cs="Times New Roman"/>
          <w:sz w:val="20"/>
          <w:szCs w:val="20"/>
        </w:rPr>
        <w:t xml:space="preserve">anufacturers, exerts a direct positive and statistically significant effect on public education spending. Therefore as the </w:t>
      </w:r>
      <w:r w:rsidR="003B56CB" w:rsidRPr="00686C7B">
        <w:rPr>
          <w:rFonts w:ascii="Times New Roman" w:eastAsiaTheme="minorEastAsia" w:hAnsi="Times New Roman" w:cs="Times New Roman"/>
          <w:sz w:val="20"/>
          <w:szCs w:val="20"/>
        </w:rPr>
        <w:t xml:space="preserve">lobbying power </w:t>
      </w:r>
      <w:r w:rsidRPr="00686C7B">
        <w:rPr>
          <w:rFonts w:ascii="Times New Roman" w:eastAsiaTheme="minorEastAsia" w:hAnsi="Times New Roman" w:cs="Times New Roman"/>
          <w:sz w:val="20"/>
          <w:szCs w:val="20"/>
        </w:rPr>
        <w:t xml:space="preserve">of </w:t>
      </w:r>
      <w:r w:rsidR="00610C92" w:rsidRPr="00686C7B">
        <w:rPr>
          <w:rFonts w:ascii="Times New Roman" w:eastAsiaTheme="minorEastAsia" w:hAnsi="Times New Roman" w:cs="Times New Roman"/>
          <w:sz w:val="20"/>
          <w:szCs w:val="20"/>
        </w:rPr>
        <w:t>m</w:t>
      </w:r>
      <w:r w:rsidRPr="00686C7B">
        <w:rPr>
          <w:rFonts w:ascii="Times New Roman" w:eastAsiaTheme="minorEastAsia" w:hAnsi="Times New Roman" w:cs="Times New Roman"/>
          <w:sz w:val="20"/>
          <w:szCs w:val="20"/>
        </w:rPr>
        <w:t>anufacturers increases this positively affects public education spending level.</w:t>
      </w:r>
      <w:r w:rsidR="00251A1B" w:rsidRPr="00686C7B">
        <w:rPr>
          <w:rFonts w:ascii="Times New Roman" w:eastAsiaTheme="minorEastAsia" w:hAnsi="Times New Roman" w:cs="Times New Roman"/>
          <w:sz w:val="20"/>
          <w:szCs w:val="20"/>
        </w:rPr>
        <w:t xml:space="preserve"> </w:t>
      </w:r>
      <w:r w:rsidR="00610C92" w:rsidRPr="00686C7B">
        <w:rPr>
          <w:rFonts w:ascii="Times New Roman" w:eastAsiaTheme="minorEastAsia" w:hAnsi="Times New Roman" w:cs="Times New Roman"/>
          <w:sz w:val="20"/>
          <w:szCs w:val="20"/>
        </w:rPr>
        <w:t>Considering estimations done with the middle income countries sample, t</w:t>
      </w:r>
      <w:r w:rsidR="00251A1B" w:rsidRPr="00686C7B">
        <w:rPr>
          <w:rFonts w:ascii="Times New Roman" w:eastAsiaTheme="minorEastAsia" w:hAnsi="Times New Roman" w:cs="Times New Roman"/>
          <w:sz w:val="20"/>
          <w:szCs w:val="20"/>
        </w:rPr>
        <w:t>he statistically significant and positive coefficient</w:t>
      </w:r>
      <w:r w:rsidR="00610C92" w:rsidRPr="00686C7B">
        <w:rPr>
          <w:rFonts w:ascii="Times New Roman" w:eastAsiaTheme="minorEastAsia" w:hAnsi="Times New Roman" w:cs="Times New Roman"/>
          <w:sz w:val="20"/>
          <w:szCs w:val="20"/>
        </w:rPr>
        <w:t>s</w:t>
      </w:r>
      <w:r w:rsidR="00251A1B" w:rsidRPr="00686C7B">
        <w:rPr>
          <w:rFonts w:ascii="Times New Roman" w:eastAsiaTheme="minorEastAsia" w:hAnsi="Times New Roman" w:cs="Times New Roman"/>
          <w:sz w:val="20"/>
          <w:szCs w:val="20"/>
        </w:rPr>
        <w:t xml:space="preserve"> of the interaction term</w:t>
      </w:r>
      <w:r w:rsidR="00610C92" w:rsidRPr="00686C7B">
        <w:rPr>
          <w:rFonts w:ascii="Times New Roman" w:eastAsiaTheme="minorEastAsia" w:hAnsi="Times New Roman" w:cs="Times New Roman"/>
          <w:sz w:val="20"/>
          <w:szCs w:val="20"/>
        </w:rPr>
        <w:t xml:space="preserve">s </w:t>
      </w:r>
      <w:r w:rsidR="00251A1B" w:rsidRPr="00686C7B">
        <w:rPr>
          <w:rFonts w:ascii="Times New Roman" w:eastAsiaTheme="minorEastAsia" w:hAnsi="Times New Roman" w:cs="Times New Roman"/>
          <w:sz w:val="20"/>
          <w:szCs w:val="20"/>
        </w:rPr>
        <w:t>of manufacture export</w:t>
      </w:r>
      <w:r w:rsidR="00610C92" w:rsidRPr="00686C7B">
        <w:rPr>
          <w:rFonts w:ascii="Times New Roman" w:eastAsiaTheme="minorEastAsia" w:hAnsi="Times New Roman" w:cs="Times New Roman"/>
          <w:sz w:val="20"/>
          <w:szCs w:val="20"/>
        </w:rPr>
        <w:t xml:space="preserve"> with </w:t>
      </w:r>
      <w:r w:rsidR="008108A8" w:rsidRPr="00686C7B">
        <w:rPr>
          <w:rFonts w:ascii="Times New Roman" w:eastAsiaTheme="minorEastAsia" w:hAnsi="Times New Roman" w:cs="Times New Roman"/>
          <w:sz w:val="20"/>
          <w:szCs w:val="20"/>
        </w:rPr>
        <w:t>political</w:t>
      </w:r>
      <w:r w:rsidR="00610C92" w:rsidRPr="00686C7B">
        <w:rPr>
          <w:rFonts w:ascii="Times New Roman" w:eastAsiaTheme="minorEastAsia" w:hAnsi="Times New Roman" w:cs="Times New Roman"/>
          <w:sz w:val="20"/>
          <w:szCs w:val="20"/>
        </w:rPr>
        <w:t xml:space="preserve"> </w:t>
      </w:r>
      <w:r w:rsidR="008108A8" w:rsidRPr="00686C7B">
        <w:rPr>
          <w:rFonts w:ascii="Times New Roman" w:eastAsiaTheme="minorEastAsia" w:hAnsi="Times New Roman" w:cs="Times New Roman"/>
          <w:sz w:val="20"/>
          <w:szCs w:val="20"/>
        </w:rPr>
        <w:t>stability</w:t>
      </w:r>
      <w:r w:rsidR="00610C92" w:rsidRPr="00686C7B">
        <w:rPr>
          <w:rFonts w:ascii="Times New Roman" w:eastAsiaTheme="minorEastAsia" w:hAnsi="Times New Roman" w:cs="Times New Roman"/>
          <w:sz w:val="20"/>
          <w:szCs w:val="20"/>
        </w:rPr>
        <w:t>-</w:t>
      </w:r>
      <w:r w:rsidR="008108A8" w:rsidRPr="00686C7B">
        <w:rPr>
          <w:rFonts w:ascii="Times New Roman" w:eastAsiaTheme="minorEastAsia" w:hAnsi="Times New Roman" w:cs="Times New Roman"/>
          <w:sz w:val="20"/>
          <w:szCs w:val="20"/>
        </w:rPr>
        <w:t>absence</w:t>
      </w:r>
      <w:r w:rsidR="00610C92" w:rsidRPr="00686C7B">
        <w:rPr>
          <w:rFonts w:ascii="Times New Roman" w:eastAsiaTheme="minorEastAsia" w:hAnsi="Times New Roman" w:cs="Times New Roman"/>
          <w:sz w:val="20"/>
          <w:szCs w:val="20"/>
        </w:rPr>
        <w:t xml:space="preserve"> </w:t>
      </w:r>
      <w:r w:rsidR="008108A8" w:rsidRPr="00686C7B">
        <w:rPr>
          <w:rFonts w:ascii="Times New Roman" w:eastAsiaTheme="minorEastAsia" w:hAnsi="Times New Roman" w:cs="Times New Roman"/>
          <w:sz w:val="20"/>
          <w:szCs w:val="20"/>
        </w:rPr>
        <w:t>of</w:t>
      </w:r>
      <w:r w:rsidR="00610C92" w:rsidRPr="00686C7B">
        <w:rPr>
          <w:rFonts w:ascii="Times New Roman" w:eastAsiaTheme="minorEastAsia" w:hAnsi="Times New Roman" w:cs="Times New Roman"/>
          <w:sz w:val="20"/>
          <w:szCs w:val="20"/>
        </w:rPr>
        <w:t xml:space="preserve"> </w:t>
      </w:r>
      <w:r w:rsidR="008108A8" w:rsidRPr="00686C7B">
        <w:rPr>
          <w:rFonts w:ascii="Times New Roman" w:eastAsiaTheme="minorEastAsia" w:hAnsi="Times New Roman" w:cs="Times New Roman"/>
          <w:sz w:val="20"/>
          <w:szCs w:val="20"/>
        </w:rPr>
        <w:t>violence</w:t>
      </w:r>
      <w:r w:rsidR="00131D5C" w:rsidRPr="00686C7B">
        <w:rPr>
          <w:rFonts w:ascii="Times New Roman" w:eastAsiaTheme="minorEastAsia" w:hAnsi="Times New Roman" w:cs="Times New Roman"/>
          <w:sz w:val="20"/>
          <w:szCs w:val="20"/>
        </w:rPr>
        <w:t xml:space="preserve">, corruption control </w:t>
      </w:r>
      <w:r w:rsidR="00610C92" w:rsidRPr="00686C7B">
        <w:rPr>
          <w:rFonts w:ascii="Times New Roman" w:eastAsiaTheme="minorEastAsia" w:hAnsi="Times New Roman" w:cs="Times New Roman"/>
          <w:sz w:val="20"/>
          <w:szCs w:val="20"/>
        </w:rPr>
        <w:t>and rule of law</w:t>
      </w:r>
      <w:r w:rsidR="008108A8" w:rsidRPr="00686C7B">
        <w:rPr>
          <w:rFonts w:ascii="Times New Roman" w:eastAsiaTheme="minorEastAsia" w:hAnsi="Times New Roman" w:cs="Times New Roman"/>
          <w:sz w:val="20"/>
          <w:szCs w:val="20"/>
        </w:rPr>
        <w:t xml:space="preserve"> indicate that improvements in </w:t>
      </w:r>
      <w:r w:rsidR="00610C92" w:rsidRPr="00686C7B">
        <w:rPr>
          <w:rFonts w:ascii="Times New Roman" w:eastAsiaTheme="minorEastAsia" w:hAnsi="Times New Roman" w:cs="Times New Roman"/>
          <w:sz w:val="20"/>
          <w:szCs w:val="20"/>
        </w:rPr>
        <w:t>these</w:t>
      </w:r>
      <w:r w:rsidR="008108A8" w:rsidRPr="00686C7B">
        <w:rPr>
          <w:rFonts w:ascii="Times New Roman" w:eastAsiaTheme="minorEastAsia" w:hAnsi="Times New Roman" w:cs="Times New Roman"/>
          <w:sz w:val="20"/>
          <w:szCs w:val="20"/>
        </w:rPr>
        <w:t xml:space="preserve"> </w:t>
      </w:r>
      <w:r w:rsidR="00610C92" w:rsidRPr="00686C7B">
        <w:rPr>
          <w:rFonts w:ascii="Times New Roman" w:eastAsiaTheme="minorEastAsia" w:hAnsi="Times New Roman" w:cs="Times New Roman"/>
          <w:sz w:val="20"/>
          <w:szCs w:val="20"/>
        </w:rPr>
        <w:t xml:space="preserve">governance indicators </w:t>
      </w:r>
      <w:r w:rsidR="008108A8" w:rsidRPr="00686C7B">
        <w:rPr>
          <w:rFonts w:ascii="Times New Roman" w:eastAsiaTheme="minorEastAsia" w:hAnsi="Times New Roman" w:cs="Times New Roman"/>
          <w:sz w:val="20"/>
          <w:szCs w:val="20"/>
        </w:rPr>
        <w:t xml:space="preserve">reinforce the positive influence </w:t>
      </w:r>
      <w:r w:rsidR="003B56CB" w:rsidRPr="00686C7B">
        <w:rPr>
          <w:rFonts w:ascii="Times New Roman" w:eastAsiaTheme="minorEastAsia" w:hAnsi="Times New Roman" w:cs="Times New Roman"/>
          <w:sz w:val="20"/>
          <w:szCs w:val="20"/>
        </w:rPr>
        <w:t xml:space="preserve">of </w:t>
      </w:r>
      <w:r w:rsidR="008108A8" w:rsidRPr="00686C7B">
        <w:rPr>
          <w:rFonts w:ascii="Times New Roman" w:eastAsiaTheme="minorEastAsia" w:hAnsi="Times New Roman" w:cs="Times New Roman"/>
          <w:sz w:val="20"/>
          <w:szCs w:val="20"/>
        </w:rPr>
        <w:t>the</w:t>
      </w:r>
      <w:r w:rsidR="003B56CB" w:rsidRPr="00686C7B">
        <w:rPr>
          <w:rFonts w:ascii="Times New Roman" w:eastAsiaTheme="minorEastAsia" w:hAnsi="Times New Roman" w:cs="Times New Roman"/>
          <w:sz w:val="20"/>
          <w:szCs w:val="20"/>
        </w:rPr>
        <w:t xml:space="preserve"> lobbying power</w:t>
      </w:r>
      <w:r w:rsidR="008108A8" w:rsidRPr="00686C7B">
        <w:rPr>
          <w:rFonts w:ascii="Times New Roman" w:eastAsiaTheme="minorEastAsia" w:hAnsi="Times New Roman" w:cs="Times New Roman"/>
          <w:sz w:val="20"/>
          <w:szCs w:val="20"/>
        </w:rPr>
        <w:t xml:space="preserve"> </w:t>
      </w:r>
      <w:r w:rsidR="003B56CB" w:rsidRPr="00686C7B">
        <w:rPr>
          <w:rFonts w:ascii="Times New Roman" w:eastAsiaTheme="minorEastAsia" w:hAnsi="Times New Roman" w:cs="Times New Roman"/>
          <w:sz w:val="20"/>
          <w:szCs w:val="20"/>
        </w:rPr>
        <w:t xml:space="preserve">of </w:t>
      </w:r>
      <w:r w:rsidR="008108A8" w:rsidRPr="00686C7B">
        <w:rPr>
          <w:rFonts w:ascii="Times New Roman" w:eastAsiaTheme="minorEastAsia" w:hAnsi="Times New Roman" w:cs="Times New Roman"/>
          <w:sz w:val="20"/>
          <w:szCs w:val="20"/>
        </w:rPr>
        <w:t>manufacturers</w:t>
      </w:r>
      <w:r w:rsidR="003B56CB" w:rsidRPr="00686C7B">
        <w:rPr>
          <w:rFonts w:ascii="Times New Roman" w:eastAsiaTheme="minorEastAsia" w:hAnsi="Times New Roman" w:cs="Times New Roman"/>
          <w:sz w:val="20"/>
          <w:szCs w:val="20"/>
        </w:rPr>
        <w:t xml:space="preserve"> on public education spending w</w:t>
      </w:r>
      <w:r w:rsidR="008108A8" w:rsidRPr="00686C7B">
        <w:rPr>
          <w:rFonts w:ascii="Times New Roman" w:eastAsiaTheme="minorEastAsia" w:hAnsi="Times New Roman" w:cs="Times New Roman"/>
          <w:sz w:val="20"/>
          <w:szCs w:val="20"/>
        </w:rPr>
        <w:t>ithin a country.</w:t>
      </w:r>
      <w:r w:rsidRPr="00686C7B">
        <w:rPr>
          <w:rFonts w:ascii="Times New Roman" w:eastAsiaTheme="minorEastAsia" w:hAnsi="Times New Roman" w:cs="Times New Roman"/>
          <w:sz w:val="20"/>
          <w:szCs w:val="20"/>
        </w:rPr>
        <w:t xml:space="preserve">   </w:t>
      </w:r>
    </w:p>
    <w:p w14:paraId="05778856" w14:textId="0FF8F6D1" w:rsidR="002736E5" w:rsidRPr="00686C7B" w:rsidRDefault="002736E5"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 xml:space="preserve">Agriculture value added is assumed to be the proxy for the </w:t>
      </w:r>
      <w:r w:rsidR="003B56CB" w:rsidRPr="00686C7B">
        <w:rPr>
          <w:rFonts w:ascii="Times New Roman" w:eastAsiaTheme="minorEastAsia" w:hAnsi="Times New Roman" w:cs="Times New Roman"/>
          <w:sz w:val="20"/>
          <w:szCs w:val="20"/>
        </w:rPr>
        <w:t xml:space="preserve">lobbying power </w:t>
      </w:r>
      <w:r w:rsidRPr="00686C7B">
        <w:rPr>
          <w:rFonts w:ascii="Times New Roman" w:eastAsiaTheme="minorEastAsia" w:hAnsi="Times New Roman" w:cs="Times New Roman"/>
          <w:sz w:val="20"/>
          <w:szCs w:val="20"/>
        </w:rPr>
        <w:t>of</w:t>
      </w:r>
      <w:r w:rsidR="003B56CB" w:rsidRPr="00686C7B">
        <w:rPr>
          <w:rFonts w:ascii="Times New Roman" w:eastAsiaTheme="minorEastAsia" w:hAnsi="Times New Roman" w:cs="Times New Roman"/>
          <w:sz w:val="20"/>
          <w:szCs w:val="20"/>
        </w:rPr>
        <w:t xml:space="preserve"> </w:t>
      </w:r>
      <w:r w:rsidR="008108A8" w:rsidRPr="00686C7B">
        <w:rPr>
          <w:rFonts w:ascii="Times New Roman" w:eastAsiaTheme="minorEastAsia" w:hAnsi="Times New Roman" w:cs="Times New Roman"/>
          <w:sz w:val="20"/>
          <w:szCs w:val="20"/>
        </w:rPr>
        <w:t>l</w:t>
      </w:r>
      <w:r w:rsidRPr="00686C7B">
        <w:rPr>
          <w:rFonts w:ascii="Times New Roman" w:eastAsiaTheme="minorEastAsia" w:hAnsi="Times New Roman" w:cs="Times New Roman"/>
          <w:sz w:val="20"/>
          <w:szCs w:val="20"/>
        </w:rPr>
        <w:t xml:space="preserve">andowners. </w:t>
      </w:r>
      <w:r w:rsidR="008108A8" w:rsidRPr="00686C7B">
        <w:rPr>
          <w:rFonts w:ascii="Times New Roman" w:eastAsiaTheme="minorEastAsia" w:hAnsi="Times New Roman" w:cs="Times New Roman"/>
          <w:sz w:val="20"/>
          <w:szCs w:val="20"/>
        </w:rPr>
        <w:t xml:space="preserve">It </w:t>
      </w:r>
      <w:r w:rsidRPr="00686C7B">
        <w:rPr>
          <w:rFonts w:ascii="Times New Roman" w:eastAsiaTheme="minorEastAsia" w:hAnsi="Times New Roman" w:cs="Times New Roman"/>
          <w:sz w:val="20"/>
          <w:szCs w:val="20"/>
        </w:rPr>
        <w:t xml:space="preserve">shows a direct negative effect on public education spending indicating that when the </w:t>
      </w:r>
      <w:r w:rsidR="003B56CB" w:rsidRPr="00686C7B">
        <w:rPr>
          <w:rFonts w:ascii="Times New Roman" w:eastAsiaTheme="minorEastAsia" w:hAnsi="Times New Roman" w:cs="Times New Roman"/>
          <w:sz w:val="20"/>
          <w:szCs w:val="20"/>
        </w:rPr>
        <w:t xml:space="preserve">lobbying power </w:t>
      </w:r>
      <w:r w:rsidRPr="00686C7B">
        <w:rPr>
          <w:rFonts w:ascii="Times New Roman" w:eastAsiaTheme="minorEastAsia" w:hAnsi="Times New Roman" w:cs="Times New Roman"/>
          <w:sz w:val="20"/>
          <w:szCs w:val="20"/>
        </w:rPr>
        <w:t xml:space="preserve">of </w:t>
      </w:r>
      <w:r w:rsidR="008108A8" w:rsidRPr="00686C7B">
        <w:rPr>
          <w:rFonts w:ascii="Times New Roman" w:eastAsiaTheme="minorEastAsia" w:hAnsi="Times New Roman" w:cs="Times New Roman"/>
          <w:sz w:val="20"/>
          <w:szCs w:val="20"/>
        </w:rPr>
        <w:t>l</w:t>
      </w:r>
      <w:r w:rsidRPr="00686C7B">
        <w:rPr>
          <w:rFonts w:ascii="Times New Roman" w:eastAsiaTheme="minorEastAsia" w:hAnsi="Times New Roman" w:cs="Times New Roman"/>
          <w:sz w:val="20"/>
          <w:szCs w:val="20"/>
        </w:rPr>
        <w:t>andowners increases this negatively affects the level of public education spending.</w:t>
      </w:r>
      <w:r w:rsidR="008108A8" w:rsidRPr="00686C7B">
        <w:rPr>
          <w:rFonts w:ascii="Times New Roman" w:eastAsiaTheme="minorEastAsia" w:hAnsi="Times New Roman" w:cs="Times New Roman"/>
          <w:sz w:val="20"/>
          <w:szCs w:val="20"/>
        </w:rPr>
        <w:t xml:space="preserve"> </w:t>
      </w:r>
      <w:r w:rsidR="00131D5C" w:rsidRPr="00686C7B">
        <w:rPr>
          <w:rFonts w:ascii="Times New Roman" w:eastAsiaTheme="minorEastAsia" w:hAnsi="Times New Roman" w:cs="Times New Roman"/>
          <w:sz w:val="20"/>
          <w:szCs w:val="20"/>
        </w:rPr>
        <w:t xml:space="preserve">Improvements in institutional quality </w:t>
      </w:r>
      <w:r w:rsidR="008108A8" w:rsidRPr="00686C7B">
        <w:rPr>
          <w:rFonts w:ascii="Times New Roman" w:eastAsiaTheme="minorEastAsia" w:hAnsi="Times New Roman" w:cs="Times New Roman"/>
          <w:sz w:val="20"/>
          <w:szCs w:val="20"/>
        </w:rPr>
        <w:t>diminish this direct negative effect</w:t>
      </w:r>
      <w:r w:rsidR="00120745" w:rsidRPr="00686C7B">
        <w:rPr>
          <w:rFonts w:ascii="Times New Roman" w:eastAsiaTheme="minorEastAsia" w:hAnsi="Times New Roman" w:cs="Times New Roman"/>
          <w:sz w:val="20"/>
          <w:szCs w:val="20"/>
        </w:rPr>
        <w:t>, but they are not sufficient to completely crowd it out</w:t>
      </w:r>
      <w:r w:rsidR="008108A8" w:rsidRPr="00686C7B">
        <w:rPr>
          <w:rFonts w:ascii="Times New Roman" w:eastAsiaTheme="minorEastAsia" w:hAnsi="Times New Roman" w:cs="Times New Roman"/>
          <w:sz w:val="20"/>
          <w:szCs w:val="20"/>
        </w:rPr>
        <w:t>.</w:t>
      </w:r>
      <w:r w:rsidRPr="00686C7B">
        <w:rPr>
          <w:rFonts w:ascii="Times New Roman" w:eastAsiaTheme="minorEastAsia" w:hAnsi="Times New Roman" w:cs="Times New Roman"/>
          <w:sz w:val="20"/>
          <w:szCs w:val="20"/>
        </w:rPr>
        <w:t xml:space="preserve"> </w:t>
      </w:r>
    </w:p>
    <w:p w14:paraId="55B60396" w14:textId="334C249E" w:rsidR="002736E5" w:rsidRPr="00686C7B" w:rsidRDefault="00610C92"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 xml:space="preserve">In the cases of controlling multiple interaction terms simultaneously and repeating the benchmark regressions with a sample </w:t>
      </w:r>
      <w:r w:rsidR="006B2A06" w:rsidRPr="00686C7B">
        <w:rPr>
          <w:rFonts w:ascii="Times New Roman" w:eastAsiaTheme="minorEastAsia" w:hAnsi="Times New Roman" w:cs="Times New Roman"/>
          <w:sz w:val="20"/>
          <w:szCs w:val="20"/>
        </w:rPr>
        <w:t xml:space="preserve">of middle income countries as robustness checks, </w:t>
      </w:r>
      <w:r w:rsidRPr="00686C7B">
        <w:rPr>
          <w:rFonts w:ascii="Times New Roman" w:eastAsiaTheme="minorEastAsia" w:hAnsi="Times New Roman" w:cs="Times New Roman"/>
          <w:sz w:val="20"/>
          <w:szCs w:val="20"/>
        </w:rPr>
        <w:t>r</w:t>
      </w:r>
      <w:r w:rsidR="008108A8" w:rsidRPr="00686C7B">
        <w:rPr>
          <w:rFonts w:ascii="Times New Roman" w:eastAsiaTheme="minorEastAsia" w:hAnsi="Times New Roman" w:cs="Times New Roman"/>
          <w:sz w:val="20"/>
          <w:szCs w:val="20"/>
        </w:rPr>
        <w:t>esource rent, manufacture export, and agriculture value added preserve the nature and significance of their effects on public education spending</w:t>
      </w:r>
      <w:r w:rsidRPr="00686C7B">
        <w:rPr>
          <w:rFonts w:ascii="Times New Roman" w:eastAsiaTheme="minorEastAsia" w:hAnsi="Times New Roman" w:cs="Times New Roman"/>
          <w:sz w:val="20"/>
          <w:szCs w:val="20"/>
        </w:rPr>
        <w:t xml:space="preserve"> in most of the estimations</w:t>
      </w:r>
      <w:r w:rsidR="008108A8" w:rsidRPr="00686C7B">
        <w:rPr>
          <w:rFonts w:ascii="Times New Roman" w:eastAsiaTheme="minorEastAsia" w:hAnsi="Times New Roman" w:cs="Times New Roman"/>
          <w:sz w:val="20"/>
          <w:szCs w:val="20"/>
        </w:rPr>
        <w:t>.</w:t>
      </w:r>
      <w:r w:rsidRPr="00686C7B">
        <w:rPr>
          <w:rFonts w:ascii="Times New Roman" w:eastAsiaTheme="minorEastAsia" w:hAnsi="Times New Roman" w:cs="Times New Roman"/>
          <w:sz w:val="20"/>
          <w:szCs w:val="20"/>
        </w:rPr>
        <w:t xml:space="preserve"> </w:t>
      </w:r>
    </w:p>
    <w:p w14:paraId="21F0463D" w14:textId="5E1968F0" w:rsidR="002736E5" w:rsidRPr="00686C7B" w:rsidRDefault="002736E5"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 xml:space="preserve">Regarding how this paper is related to the </w:t>
      </w:r>
      <w:r w:rsidR="00120745" w:rsidRPr="00686C7B">
        <w:rPr>
          <w:rFonts w:ascii="Times New Roman" w:eastAsiaTheme="minorEastAsia" w:hAnsi="Times New Roman" w:cs="Times New Roman"/>
          <w:sz w:val="20"/>
          <w:szCs w:val="20"/>
        </w:rPr>
        <w:t xml:space="preserve">natural </w:t>
      </w:r>
      <w:r w:rsidRPr="00686C7B">
        <w:rPr>
          <w:rFonts w:ascii="Times New Roman" w:eastAsiaTheme="minorEastAsia" w:hAnsi="Times New Roman" w:cs="Times New Roman"/>
          <w:sz w:val="20"/>
          <w:szCs w:val="20"/>
        </w:rPr>
        <w:t>resource</w:t>
      </w:r>
      <w:r w:rsidR="00120745" w:rsidRPr="00686C7B">
        <w:rPr>
          <w:rFonts w:ascii="Times New Roman" w:eastAsiaTheme="minorEastAsia" w:hAnsi="Times New Roman" w:cs="Times New Roman"/>
          <w:sz w:val="20"/>
          <w:szCs w:val="20"/>
        </w:rPr>
        <w:t>s</w:t>
      </w:r>
      <w:r w:rsidRPr="00686C7B">
        <w:rPr>
          <w:rFonts w:ascii="Times New Roman" w:eastAsiaTheme="minorEastAsia" w:hAnsi="Times New Roman" w:cs="Times New Roman"/>
          <w:sz w:val="20"/>
          <w:szCs w:val="20"/>
        </w:rPr>
        <w:t xml:space="preserve">, institutional quality and economic growth literature, </w:t>
      </w:r>
      <w:proofErr w:type="spellStart"/>
      <w:r w:rsidRPr="00686C7B">
        <w:rPr>
          <w:rFonts w:ascii="Times New Roman" w:eastAsiaTheme="minorEastAsia" w:hAnsi="Times New Roman" w:cs="Times New Roman"/>
          <w:sz w:val="20"/>
          <w:szCs w:val="20"/>
        </w:rPr>
        <w:t>Mehlum</w:t>
      </w:r>
      <w:proofErr w:type="spellEnd"/>
      <w:r w:rsidRPr="00686C7B">
        <w:rPr>
          <w:rFonts w:ascii="Times New Roman" w:eastAsiaTheme="minorEastAsia" w:hAnsi="Times New Roman" w:cs="Times New Roman"/>
          <w:sz w:val="20"/>
          <w:szCs w:val="20"/>
        </w:rPr>
        <w:t xml:space="preserve"> et al. (2006) argue that resource abundance is beneficial for economic growth when the institutions are producer friendly and harmful for economic growth when the institutions are grabber friendly. They use the share of primary exports in GNP in 1970 from Sachs and Warner (1995) as resource abundance indicator and a composite index for institutional quality. </w:t>
      </w:r>
      <w:r w:rsidR="006B2A06" w:rsidRPr="00686C7B">
        <w:rPr>
          <w:rFonts w:ascii="Times New Roman" w:eastAsiaTheme="minorEastAsia" w:hAnsi="Times New Roman" w:cs="Times New Roman"/>
          <w:sz w:val="20"/>
          <w:szCs w:val="20"/>
        </w:rPr>
        <w:t xml:space="preserve">Other studies </w:t>
      </w:r>
      <w:r w:rsidRPr="00686C7B">
        <w:rPr>
          <w:rFonts w:ascii="Times New Roman" w:eastAsiaTheme="minorEastAsia" w:hAnsi="Times New Roman" w:cs="Times New Roman"/>
          <w:sz w:val="20"/>
          <w:szCs w:val="20"/>
        </w:rPr>
        <w:t>draw attention to the interactions between institutional quality and different types of resources, and their varying effects on economic growth</w:t>
      </w:r>
      <w:r w:rsidR="006B2A06" w:rsidRPr="00686C7B">
        <w:rPr>
          <w:rFonts w:ascii="Times New Roman" w:eastAsiaTheme="minorEastAsia" w:hAnsi="Times New Roman" w:cs="Times New Roman"/>
          <w:sz w:val="20"/>
          <w:szCs w:val="20"/>
        </w:rPr>
        <w:t xml:space="preserve"> (</w:t>
      </w:r>
      <w:proofErr w:type="spellStart"/>
      <w:r w:rsidR="006B2A06" w:rsidRPr="00686C7B">
        <w:rPr>
          <w:rFonts w:ascii="Times New Roman" w:eastAsiaTheme="minorEastAsia" w:hAnsi="Times New Roman" w:cs="Times New Roman"/>
          <w:sz w:val="20"/>
          <w:szCs w:val="20"/>
        </w:rPr>
        <w:t>Boschini</w:t>
      </w:r>
      <w:proofErr w:type="spellEnd"/>
      <w:r w:rsidR="006B2A06" w:rsidRPr="00686C7B">
        <w:rPr>
          <w:rFonts w:ascii="Times New Roman" w:eastAsiaTheme="minorEastAsia" w:hAnsi="Times New Roman" w:cs="Times New Roman"/>
          <w:sz w:val="20"/>
          <w:szCs w:val="20"/>
        </w:rPr>
        <w:t xml:space="preserve"> et al., 2007 and </w:t>
      </w:r>
      <w:proofErr w:type="spellStart"/>
      <w:r w:rsidR="006B2A06" w:rsidRPr="00686C7B">
        <w:rPr>
          <w:rFonts w:ascii="Times New Roman" w:eastAsiaTheme="minorEastAsia" w:hAnsi="Times New Roman" w:cs="Times New Roman"/>
          <w:sz w:val="20"/>
          <w:szCs w:val="20"/>
        </w:rPr>
        <w:t>Stijns</w:t>
      </w:r>
      <w:proofErr w:type="spellEnd"/>
      <w:r w:rsidR="006B2A06" w:rsidRPr="00686C7B">
        <w:rPr>
          <w:rFonts w:ascii="Times New Roman" w:eastAsiaTheme="minorEastAsia" w:hAnsi="Times New Roman" w:cs="Times New Roman"/>
          <w:sz w:val="20"/>
          <w:szCs w:val="20"/>
        </w:rPr>
        <w:t>, 2006)</w:t>
      </w:r>
      <w:r w:rsidRPr="00686C7B">
        <w:rPr>
          <w:rFonts w:ascii="Times New Roman" w:eastAsiaTheme="minorEastAsia" w:hAnsi="Times New Roman" w:cs="Times New Roman"/>
          <w:sz w:val="20"/>
          <w:szCs w:val="20"/>
        </w:rPr>
        <w:t>.</w:t>
      </w:r>
      <w:r w:rsidR="006B2A06" w:rsidRPr="00686C7B">
        <w:rPr>
          <w:rFonts w:ascii="Times New Roman" w:eastAsiaTheme="minorEastAsia" w:hAnsi="Times New Roman" w:cs="Times New Roman"/>
          <w:sz w:val="20"/>
          <w:szCs w:val="20"/>
        </w:rPr>
        <w:t xml:space="preserve"> </w:t>
      </w:r>
      <w:proofErr w:type="spellStart"/>
      <w:r w:rsidRPr="00686C7B">
        <w:rPr>
          <w:rFonts w:ascii="Times New Roman" w:eastAsiaTheme="minorEastAsia" w:hAnsi="Times New Roman" w:cs="Times New Roman"/>
          <w:sz w:val="20"/>
          <w:szCs w:val="20"/>
        </w:rPr>
        <w:t>Brunnschweiler</w:t>
      </w:r>
      <w:proofErr w:type="spellEnd"/>
      <w:r w:rsidRPr="00686C7B">
        <w:rPr>
          <w:rFonts w:ascii="Times New Roman" w:eastAsiaTheme="minorEastAsia" w:hAnsi="Times New Roman" w:cs="Times New Roman"/>
          <w:sz w:val="20"/>
          <w:szCs w:val="20"/>
        </w:rPr>
        <w:t xml:space="preserve"> (2008) uses subsoil wealth per capita as resource abundance indicator, and rule of law and government effectiveness from the Worldwide Governance Indicators to define institutional quality. She finds that resource abundance has a direct positive effect on economic growth although the negative coefficients of the interaction terms suggest that this positive effect diminishes as the quality of institutions improves. In all these studies, the dependent variable is an economic growth indicator.</w:t>
      </w:r>
      <w:r w:rsidR="00485837" w:rsidRPr="00686C7B">
        <w:rPr>
          <w:rFonts w:ascii="Times New Roman" w:eastAsiaTheme="minorEastAsia" w:hAnsi="Times New Roman" w:cs="Times New Roman"/>
          <w:sz w:val="20"/>
          <w:szCs w:val="20"/>
        </w:rPr>
        <w:t xml:space="preserve"> </w:t>
      </w:r>
      <w:proofErr w:type="spellStart"/>
      <w:r w:rsidR="00485837" w:rsidRPr="00686C7B">
        <w:rPr>
          <w:rFonts w:ascii="Times New Roman" w:eastAsiaTheme="minorEastAsia" w:hAnsi="Times New Roman" w:cs="Times New Roman"/>
          <w:sz w:val="20"/>
          <w:szCs w:val="20"/>
        </w:rPr>
        <w:t>Aslaksen</w:t>
      </w:r>
      <w:proofErr w:type="spellEnd"/>
      <w:r w:rsidR="00485837" w:rsidRPr="00686C7B">
        <w:rPr>
          <w:rFonts w:ascii="Times New Roman" w:eastAsiaTheme="minorEastAsia" w:hAnsi="Times New Roman" w:cs="Times New Roman"/>
          <w:sz w:val="20"/>
          <w:szCs w:val="20"/>
        </w:rPr>
        <w:t xml:space="preserve"> (2007) uses panel data specification controlling for country and time fixed effects to estimate the impact of resource abundance on corruption.</w:t>
      </w:r>
      <w:r w:rsidR="008322C1" w:rsidRPr="00686C7B">
        <w:rPr>
          <w:rFonts w:ascii="Times New Roman" w:eastAsiaTheme="minorEastAsia" w:hAnsi="Times New Roman" w:cs="Times New Roman"/>
          <w:sz w:val="20"/>
          <w:szCs w:val="20"/>
        </w:rPr>
        <w:t xml:space="preserve"> </w:t>
      </w:r>
      <w:r w:rsidR="00131D5C" w:rsidRPr="00686C7B">
        <w:rPr>
          <w:rFonts w:ascii="Times New Roman" w:eastAsiaTheme="minorEastAsia" w:hAnsi="Times New Roman" w:cs="Times New Roman"/>
          <w:sz w:val="20"/>
          <w:szCs w:val="20"/>
        </w:rPr>
        <w:t>In this respect, t</w:t>
      </w:r>
      <w:r w:rsidRPr="00686C7B">
        <w:rPr>
          <w:rFonts w:ascii="Times New Roman" w:eastAsiaTheme="minorEastAsia" w:hAnsi="Times New Roman" w:cs="Times New Roman"/>
          <w:sz w:val="20"/>
          <w:szCs w:val="20"/>
        </w:rPr>
        <w:t xml:space="preserve">his paper provides a contribution to the natural resources and economic </w:t>
      </w:r>
      <w:r w:rsidR="008322C1" w:rsidRPr="00686C7B">
        <w:rPr>
          <w:rFonts w:ascii="Times New Roman" w:eastAsiaTheme="minorEastAsia" w:hAnsi="Times New Roman" w:cs="Times New Roman"/>
          <w:sz w:val="20"/>
          <w:szCs w:val="20"/>
        </w:rPr>
        <w:t xml:space="preserve">development </w:t>
      </w:r>
      <w:r w:rsidRPr="00686C7B">
        <w:rPr>
          <w:rFonts w:ascii="Times New Roman" w:eastAsiaTheme="minorEastAsia" w:hAnsi="Times New Roman" w:cs="Times New Roman"/>
          <w:sz w:val="20"/>
          <w:szCs w:val="20"/>
        </w:rPr>
        <w:t>literature</w:t>
      </w:r>
      <w:r w:rsidR="00131D5C" w:rsidRPr="00686C7B">
        <w:rPr>
          <w:rFonts w:ascii="Times New Roman" w:eastAsiaTheme="minorEastAsia" w:hAnsi="Times New Roman" w:cs="Times New Roman"/>
          <w:sz w:val="20"/>
          <w:szCs w:val="20"/>
        </w:rPr>
        <w:t xml:space="preserve"> </w:t>
      </w:r>
      <w:r w:rsidR="008322C1" w:rsidRPr="00686C7B">
        <w:rPr>
          <w:rFonts w:ascii="Times New Roman" w:eastAsiaTheme="minorEastAsia" w:hAnsi="Times New Roman" w:cs="Times New Roman"/>
          <w:sz w:val="20"/>
          <w:szCs w:val="20"/>
        </w:rPr>
        <w:t>from a political economy perspective.</w:t>
      </w:r>
      <w:r w:rsidRPr="00686C7B">
        <w:rPr>
          <w:rFonts w:ascii="Times New Roman" w:eastAsiaTheme="minorEastAsia" w:hAnsi="Times New Roman" w:cs="Times New Roman"/>
          <w:sz w:val="20"/>
          <w:szCs w:val="20"/>
        </w:rPr>
        <w:t xml:space="preserve">  </w:t>
      </w:r>
    </w:p>
    <w:p w14:paraId="5E0E89F8" w14:textId="30775E84" w:rsidR="00280B75" w:rsidRPr="00686C7B" w:rsidRDefault="002736E5" w:rsidP="00686C7B">
      <w:pPr>
        <w:spacing w:after="120" w:line="240" w:lineRule="auto"/>
        <w:ind w:left="-578"/>
        <w:jc w:val="both"/>
        <w:rPr>
          <w:rFonts w:ascii="Times New Roman" w:eastAsiaTheme="minorEastAsia" w:hAnsi="Times New Roman" w:cs="Times New Roman"/>
          <w:sz w:val="20"/>
          <w:szCs w:val="20"/>
        </w:rPr>
      </w:pPr>
      <w:r w:rsidRPr="00686C7B">
        <w:rPr>
          <w:rFonts w:ascii="Times New Roman" w:eastAsiaTheme="minorEastAsia" w:hAnsi="Times New Roman" w:cs="Times New Roman"/>
          <w:sz w:val="20"/>
          <w:szCs w:val="20"/>
        </w:rPr>
        <w:t xml:space="preserve">In order to explore different aspects of the interaction between institutional quality and political influences of the </w:t>
      </w:r>
      <w:r w:rsidR="00131D5C" w:rsidRPr="00686C7B">
        <w:rPr>
          <w:rFonts w:ascii="Times New Roman" w:eastAsiaTheme="minorEastAsia" w:hAnsi="Times New Roman" w:cs="Times New Roman"/>
          <w:sz w:val="20"/>
          <w:szCs w:val="20"/>
        </w:rPr>
        <w:t>interest groups</w:t>
      </w:r>
      <w:r w:rsidR="00FE18FD" w:rsidRPr="00686C7B">
        <w:rPr>
          <w:rFonts w:ascii="Times New Roman" w:eastAsiaTheme="minorEastAsia" w:hAnsi="Times New Roman" w:cs="Times New Roman"/>
          <w:sz w:val="20"/>
          <w:szCs w:val="20"/>
        </w:rPr>
        <w:t>,</w:t>
      </w:r>
      <w:r w:rsidR="00131D5C" w:rsidRPr="00686C7B">
        <w:rPr>
          <w:rFonts w:ascii="Times New Roman" w:eastAsiaTheme="minorEastAsia" w:hAnsi="Times New Roman" w:cs="Times New Roman"/>
          <w:sz w:val="20"/>
          <w:szCs w:val="20"/>
        </w:rPr>
        <w:t xml:space="preserve"> five </w:t>
      </w:r>
      <w:r w:rsidRPr="00686C7B">
        <w:rPr>
          <w:rFonts w:ascii="Times New Roman" w:eastAsiaTheme="minorEastAsia" w:hAnsi="Times New Roman" w:cs="Times New Roman"/>
          <w:sz w:val="20"/>
          <w:szCs w:val="20"/>
        </w:rPr>
        <w:t>governance indicators are used in the regressions.</w:t>
      </w:r>
      <w:r w:rsidR="00FE18FD" w:rsidRPr="00686C7B">
        <w:rPr>
          <w:rFonts w:ascii="Times New Roman" w:eastAsiaTheme="minorEastAsia" w:hAnsi="Times New Roman" w:cs="Times New Roman"/>
          <w:sz w:val="20"/>
          <w:szCs w:val="20"/>
        </w:rPr>
        <w:t xml:space="preserve"> T</w:t>
      </w:r>
      <w:r w:rsidRPr="00686C7B">
        <w:rPr>
          <w:rFonts w:ascii="Times New Roman" w:eastAsiaTheme="minorEastAsia" w:hAnsi="Times New Roman" w:cs="Times New Roman"/>
          <w:sz w:val="20"/>
          <w:szCs w:val="20"/>
        </w:rPr>
        <w:t xml:space="preserve">he estimation results examining the effects of </w:t>
      </w:r>
      <w:r w:rsidR="00FE18FD" w:rsidRPr="00686C7B">
        <w:rPr>
          <w:rFonts w:ascii="Times New Roman" w:eastAsiaTheme="minorEastAsia" w:hAnsi="Times New Roman" w:cs="Times New Roman"/>
          <w:sz w:val="20"/>
          <w:szCs w:val="20"/>
        </w:rPr>
        <w:t>proxy variables</w:t>
      </w:r>
      <w:r w:rsidRPr="00686C7B">
        <w:rPr>
          <w:rFonts w:ascii="Times New Roman" w:eastAsiaTheme="minorEastAsia" w:hAnsi="Times New Roman" w:cs="Times New Roman"/>
          <w:sz w:val="20"/>
          <w:szCs w:val="20"/>
        </w:rPr>
        <w:t xml:space="preserve"> show that through the interaction terms</w:t>
      </w:r>
      <w:r w:rsidR="00FE18FD" w:rsidRPr="00686C7B">
        <w:rPr>
          <w:rFonts w:ascii="Times New Roman" w:eastAsiaTheme="minorEastAsia" w:hAnsi="Times New Roman" w:cs="Times New Roman"/>
          <w:sz w:val="20"/>
          <w:szCs w:val="20"/>
        </w:rPr>
        <w:t xml:space="preserve"> the </w:t>
      </w:r>
      <w:r w:rsidRPr="00686C7B">
        <w:rPr>
          <w:rFonts w:ascii="Times New Roman" w:eastAsiaTheme="minorEastAsia" w:hAnsi="Times New Roman" w:cs="Times New Roman"/>
          <w:sz w:val="20"/>
          <w:szCs w:val="20"/>
        </w:rPr>
        <w:t>governance indicators play significant roles in</w:t>
      </w:r>
      <w:r w:rsidR="00280B75" w:rsidRPr="00686C7B">
        <w:rPr>
          <w:rFonts w:ascii="Times New Roman" w:eastAsiaTheme="minorEastAsia" w:hAnsi="Times New Roman" w:cs="Times New Roman"/>
          <w:sz w:val="20"/>
          <w:szCs w:val="20"/>
        </w:rPr>
        <w:t xml:space="preserve"> determining the total impacts of natural resource owners’, manufacturers’, and landowners’ political influence on public education spending, referring to the argument that the quality of political institutions is an important factor in determining economic development </w:t>
      </w:r>
      <w:r w:rsidR="006B2A06" w:rsidRPr="00686C7B">
        <w:rPr>
          <w:rFonts w:ascii="Times New Roman" w:eastAsiaTheme="minorEastAsia" w:hAnsi="Times New Roman" w:cs="Times New Roman"/>
          <w:sz w:val="20"/>
          <w:szCs w:val="20"/>
        </w:rPr>
        <w:t>(</w:t>
      </w:r>
      <w:proofErr w:type="spellStart"/>
      <w:r w:rsidR="006B2A06" w:rsidRPr="00686C7B">
        <w:rPr>
          <w:rFonts w:ascii="Times New Roman" w:eastAsiaTheme="minorEastAsia" w:hAnsi="Times New Roman" w:cs="Times New Roman"/>
          <w:sz w:val="20"/>
          <w:szCs w:val="20"/>
        </w:rPr>
        <w:t>Glaeser</w:t>
      </w:r>
      <w:proofErr w:type="spellEnd"/>
      <w:r w:rsidR="006B2A06" w:rsidRPr="00686C7B">
        <w:rPr>
          <w:rFonts w:ascii="Times New Roman" w:eastAsiaTheme="minorEastAsia" w:hAnsi="Times New Roman" w:cs="Times New Roman"/>
          <w:sz w:val="20"/>
          <w:szCs w:val="20"/>
        </w:rPr>
        <w:t xml:space="preserve"> et al., 2004) </w:t>
      </w:r>
      <w:r w:rsidR="00280B75" w:rsidRPr="00686C7B">
        <w:rPr>
          <w:rFonts w:ascii="Times New Roman" w:eastAsiaTheme="minorEastAsia" w:hAnsi="Times New Roman" w:cs="Times New Roman"/>
          <w:sz w:val="20"/>
          <w:szCs w:val="20"/>
        </w:rPr>
        <w:t xml:space="preserve">which is discussed in detail in economic growth and political economy literature. </w:t>
      </w:r>
    </w:p>
    <w:p w14:paraId="2C18CB47" w14:textId="2A99A381" w:rsidR="007B0D87" w:rsidRPr="00686C7B" w:rsidRDefault="00280B75" w:rsidP="00686C7B">
      <w:pPr>
        <w:spacing w:after="120" w:line="240" w:lineRule="auto"/>
        <w:ind w:left="-578"/>
        <w:jc w:val="both"/>
        <w:rPr>
          <w:rFonts w:ascii="Times New Roman" w:hAnsi="Times New Roman" w:cs="Times New Roman"/>
          <w:sz w:val="20"/>
          <w:szCs w:val="20"/>
        </w:rPr>
      </w:pPr>
      <w:r w:rsidRPr="00686C7B">
        <w:rPr>
          <w:rFonts w:ascii="Times New Roman" w:eastAsiaTheme="minorEastAsia" w:hAnsi="Times New Roman" w:cs="Times New Roman"/>
          <w:sz w:val="20"/>
          <w:szCs w:val="20"/>
        </w:rPr>
        <w:lastRenderedPageBreak/>
        <w:t>Future research prospects include single country case studies to find out how country-specific political party platforms</w:t>
      </w:r>
      <w:r w:rsidR="00131D5C"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 xml:space="preserve">and </w:t>
      </w:r>
      <w:r w:rsidR="00131D5C" w:rsidRPr="00686C7B">
        <w:rPr>
          <w:rFonts w:ascii="Times New Roman" w:eastAsiaTheme="minorEastAsia" w:hAnsi="Times New Roman" w:cs="Times New Roman"/>
          <w:sz w:val="20"/>
          <w:szCs w:val="20"/>
        </w:rPr>
        <w:t>interest group</w:t>
      </w:r>
      <w:r w:rsidRPr="00686C7B">
        <w:rPr>
          <w:rFonts w:ascii="Times New Roman" w:eastAsiaTheme="minorEastAsia" w:hAnsi="Times New Roman" w:cs="Times New Roman"/>
          <w:sz w:val="20"/>
          <w:szCs w:val="20"/>
        </w:rPr>
        <w:t xml:space="preserve"> structure affect economic development; country-group studies to explore how similar geographical, regional or economic conditions, potential political conflicts between countries affect economic growth.</w:t>
      </w:r>
      <w:r w:rsidR="009F00D1"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Moreover,</w:t>
      </w:r>
      <w:r w:rsidR="009F00D1" w:rsidRPr="00686C7B">
        <w:rPr>
          <w:rFonts w:ascii="Times New Roman" w:eastAsiaTheme="minorEastAsia" w:hAnsi="Times New Roman" w:cs="Times New Roman"/>
          <w:sz w:val="20"/>
          <w:szCs w:val="20"/>
        </w:rPr>
        <w:t xml:space="preserve"> </w:t>
      </w:r>
      <w:r w:rsidRPr="00686C7B">
        <w:rPr>
          <w:rFonts w:ascii="Times New Roman" w:eastAsiaTheme="minorEastAsia" w:hAnsi="Times New Roman" w:cs="Times New Roman"/>
          <w:sz w:val="20"/>
          <w:szCs w:val="20"/>
        </w:rPr>
        <w:t xml:space="preserve">the integration of political coalition structure into the empirical framework would be useful.   </w:t>
      </w:r>
      <w:r w:rsidR="002736E5" w:rsidRPr="00686C7B">
        <w:rPr>
          <w:rFonts w:ascii="Times New Roman" w:eastAsiaTheme="minorEastAsia" w:hAnsi="Times New Roman" w:cs="Times New Roman"/>
          <w:sz w:val="20"/>
          <w:szCs w:val="20"/>
        </w:rPr>
        <w:t xml:space="preserve"> </w:t>
      </w:r>
    </w:p>
    <w:p w14:paraId="4E3B2794" w14:textId="77777777" w:rsidR="007B0D87" w:rsidRDefault="007B0D87" w:rsidP="00AC1B37">
      <w:pPr>
        <w:spacing w:after="120" w:line="480" w:lineRule="auto"/>
        <w:jc w:val="both"/>
        <w:rPr>
          <w:rFonts w:ascii="Times New Roman" w:hAnsi="Times New Roman" w:cs="Times New Roman"/>
          <w:sz w:val="24"/>
          <w:szCs w:val="24"/>
        </w:rPr>
      </w:pPr>
    </w:p>
    <w:p w14:paraId="63226447" w14:textId="77777777" w:rsidR="00131D5C" w:rsidRDefault="00131D5C" w:rsidP="00AC1B37">
      <w:pPr>
        <w:spacing w:after="120" w:line="480" w:lineRule="auto"/>
        <w:jc w:val="both"/>
        <w:rPr>
          <w:rFonts w:ascii="Times New Roman" w:hAnsi="Times New Roman" w:cs="Times New Roman"/>
          <w:sz w:val="24"/>
          <w:szCs w:val="24"/>
        </w:rPr>
      </w:pPr>
    </w:p>
    <w:p w14:paraId="206D72FE" w14:textId="77777777" w:rsidR="003A37AD" w:rsidRDefault="003A37AD" w:rsidP="00AC1B37">
      <w:pPr>
        <w:spacing w:after="120" w:line="480" w:lineRule="auto"/>
        <w:jc w:val="both"/>
        <w:rPr>
          <w:rFonts w:ascii="Times New Roman" w:hAnsi="Times New Roman" w:cs="Times New Roman"/>
          <w:sz w:val="24"/>
          <w:szCs w:val="24"/>
        </w:rPr>
      </w:pPr>
    </w:p>
    <w:p w14:paraId="21E14A00" w14:textId="77777777" w:rsidR="003A37AD" w:rsidRDefault="003A37AD" w:rsidP="00AC1B37">
      <w:pPr>
        <w:spacing w:after="120" w:line="480" w:lineRule="auto"/>
        <w:jc w:val="both"/>
        <w:rPr>
          <w:rFonts w:ascii="Times New Roman" w:hAnsi="Times New Roman" w:cs="Times New Roman"/>
          <w:sz w:val="24"/>
          <w:szCs w:val="24"/>
        </w:rPr>
      </w:pPr>
    </w:p>
    <w:p w14:paraId="5AE09FAA" w14:textId="77777777" w:rsidR="003A37AD" w:rsidRDefault="003A37AD" w:rsidP="00AC1B37">
      <w:pPr>
        <w:spacing w:after="120" w:line="480" w:lineRule="auto"/>
        <w:jc w:val="both"/>
        <w:rPr>
          <w:rFonts w:ascii="Times New Roman" w:hAnsi="Times New Roman" w:cs="Times New Roman"/>
          <w:sz w:val="24"/>
          <w:szCs w:val="24"/>
        </w:rPr>
      </w:pPr>
    </w:p>
    <w:p w14:paraId="765A2967" w14:textId="77777777" w:rsidR="003A37AD" w:rsidRDefault="003A37AD" w:rsidP="00AC1B37">
      <w:pPr>
        <w:spacing w:after="120" w:line="480" w:lineRule="auto"/>
        <w:jc w:val="both"/>
        <w:rPr>
          <w:rFonts w:ascii="Times New Roman" w:hAnsi="Times New Roman" w:cs="Times New Roman"/>
          <w:sz w:val="24"/>
          <w:szCs w:val="24"/>
        </w:rPr>
      </w:pPr>
    </w:p>
    <w:p w14:paraId="7BF33CCA" w14:textId="77777777" w:rsidR="003A37AD" w:rsidRDefault="003A37AD" w:rsidP="00AC1B37">
      <w:pPr>
        <w:spacing w:after="120" w:line="480" w:lineRule="auto"/>
        <w:jc w:val="both"/>
        <w:rPr>
          <w:rFonts w:ascii="Times New Roman" w:hAnsi="Times New Roman" w:cs="Times New Roman"/>
          <w:sz w:val="24"/>
          <w:szCs w:val="24"/>
        </w:rPr>
      </w:pPr>
    </w:p>
    <w:p w14:paraId="3D7012A2" w14:textId="77777777" w:rsidR="003A37AD" w:rsidRDefault="003A37AD" w:rsidP="00AC1B37">
      <w:pPr>
        <w:spacing w:after="120" w:line="480" w:lineRule="auto"/>
        <w:jc w:val="both"/>
        <w:rPr>
          <w:rFonts w:ascii="Times New Roman" w:hAnsi="Times New Roman" w:cs="Times New Roman"/>
          <w:sz w:val="24"/>
          <w:szCs w:val="24"/>
        </w:rPr>
      </w:pPr>
    </w:p>
    <w:p w14:paraId="396DDE85" w14:textId="77777777" w:rsidR="00131D5C" w:rsidRDefault="00131D5C" w:rsidP="00AC1B37">
      <w:pPr>
        <w:spacing w:after="120" w:line="480" w:lineRule="auto"/>
        <w:jc w:val="both"/>
        <w:rPr>
          <w:rFonts w:ascii="Times New Roman" w:hAnsi="Times New Roman" w:cs="Times New Roman"/>
          <w:sz w:val="24"/>
          <w:szCs w:val="24"/>
        </w:rPr>
      </w:pPr>
    </w:p>
    <w:p w14:paraId="0615F802" w14:textId="77777777" w:rsidR="00686C7B" w:rsidRDefault="00686C7B" w:rsidP="00AC1B37">
      <w:pPr>
        <w:spacing w:after="120" w:line="480" w:lineRule="auto"/>
        <w:jc w:val="both"/>
        <w:rPr>
          <w:rFonts w:ascii="Times New Roman" w:eastAsia="Times New Roman" w:hAnsi="Times New Roman" w:cs="Times New Roman"/>
          <w:b/>
          <w:sz w:val="24"/>
          <w:szCs w:val="24"/>
          <w:u w:val="single"/>
        </w:rPr>
      </w:pPr>
    </w:p>
    <w:p w14:paraId="13D829AA" w14:textId="77777777" w:rsidR="00686C7B" w:rsidRDefault="00686C7B" w:rsidP="00AC1B37">
      <w:pPr>
        <w:spacing w:after="120" w:line="480" w:lineRule="auto"/>
        <w:jc w:val="both"/>
        <w:rPr>
          <w:rFonts w:ascii="Times New Roman" w:eastAsia="Times New Roman" w:hAnsi="Times New Roman" w:cs="Times New Roman"/>
          <w:b/>
          <w:sz w:val="24"/>
          <w:szCs w:val="24"/>
          <w:u w:val="single"/>
        </w:rPr>
      </w:pPr>
    </w:p>
    <w:p w14:paraId="66C3166D" w14:textId="77777777" w:rsidR="00686C7B" w:rsidRDefault="00686C7B" w:rsidP="00AC1B37">
      <w:pPr>
        <w:spacing w:after="120" w:line="480" w:lineRule="auto"/>
        <w:jc w:val="both"/>
        <w:rPr>
          <w:rFonts w:ascii="Times New Roman" w:eastAsia="Times New Roman" w:hAnsi="Times New Roman" w:cs="Times New Roman"/>
          <w:b/>
          <w:sz w:val="24"/>
          <w:szCs w:val="24"/>
          <w:u w:val="single"/>
        </w:rPr>
      </w:pPr>
    </w:p>
    <w:p w14:paraId="65405239" w14:textId="77777777" w:rsidR="00686C7B" w:rsidRDefault="00686C7B" w:rsidP="00AC1B37">
      <w:pPr>
        <w:spacing w:after="120" w:line="480" w:lineRule="auto"/>
        <w:jc w:val="both"/>
        <w:rPr>
          <w:rFonts w:ascii="Times New Roman" w:eastAsia="Times New Roman" w:hAnsi="Times New Roman" w:cs="Times New Roman"/>
          <w:b/>
          <w:sz w:val="24"/>
          <w:szCs w:val="24"/>
          <w:u w:val="single"/>
        </w:rPr>
      </w:pPr>
    </w:p>
    <w:p w14:paraId="6F9F53DC" w14:textId="77777777" w:rsidR="00686C7B" w:rsidRDefault="00686C7B" w:rsidP="00AC1B37">
      <w:pPr>
        <w:spacing w:after="120" w:line="480" w:lineRule="auto"/>
        <w:jc w:val="both"/>
        <w:rPr>
          <w:rFonts w:ascii="Times New Roman" w:eastAsia="Times New Roman" w:hAnsi="Times New Roman" w:cs="Times New Roman"/>
          <w:b/>
          <w:sz w:val="24"/>
          <w:szCs w:val="24"/>
          <w:u w:val="single"/>
        </w:rPr>
      </w:pPr>
    </w:p>
    <w:p w14:paraId="4E610220" w14:textId="77777777" w:rsidR="00686C7B" w:rsidRDefault="00686C7B" w:rsidP="00AC1B37">
      <w:pPr>
        <w:spacing w:after="120" w:line="480" w:lineRule="auto"/>
        <w:jc w:val="both"/>
        <w:rPr>
          <w:rFonts w:ascii="Times New Roman" w:eastAsia="Times New Roman" w:hAnsi="Times New Roman" w:cs="Times New Roman"/>
          <w:b/>
          <w:sz w:val="24"/>
          <w:szCs w:val="24"/>
          <w:u w:val="single"/>
        </w:rPr>
      </w:pPr>
    </w:p>
    <w:p w14:paraId="7A9B7258" w14:textId="77777777" w:rsidR="00686C7B" w:rsidRDefault="00686C7B" w:rsidP="00AC1B37">
      <w:pPr>
        <w:spacing w:after="120" w:line="480" w:lineRule="auto"/>
        <w:jc w:val="both"/>
        <w:rPr>
          <w:rFonts w:ascii="Times New Roman" w:eastAsia="Times New Roman" w:hAnsi="Times New Roman" w:cs="Times New Roman"/>
          <w:b/>
          <w:sz w:val="24"/>
          <w:szCs w:val="24"/>
          <w:u w:val="single"/>
        </w:rPr>
      </w:pPr>
    </w:p>
    <w:p w14:paraId="387E8950" w14:textId="77777777" w:rsidR="00686C7B" w:rsidRDefault="00686C7B" w:rsidP="00AC1B37">
      <w:pPr>
        <w:spacing w:after="120" w:line="480" w:lineRule="auto"/>
        <w:jc w:val="both"/>
        <w:rPr>
          <w:rFonts w:ascii="Times New Roman" w:eastAsia="Times New Roman" w:hAnsi="Times New Roman" w:cs="Times New Roman"/>
          <w:b/>
          <w:sz w:val="24"/>
          <w:szCs w:val="24"/>
          <w:u w:val="single"/>
        </w:rPr>
      </w:pPr>
    </w:p>
    <w:p w14:paraId="4B07B81C" w14:textId="022EE36A" w:rsidR="00997EC9" w:rsidRPr="00686C7B" w:rsidRDefault="00997EC9" w:rsidP="00AC1B37">
      <w:pPr>
        <w:spacing w:after="120" w:line="480" w:lineRule="auto"/>
        <w:jc w:val="both"/>
        <w:rPr>
          <w:rFonts w:ascii="Times New Roman" w:eastAsia="Times New Roman" w:hAnsi="Times New Roman" w:cs="Times New Roman"/>
          <w:b/>
          <w:sz w:val="20"/>
          <w:szCs w:val="20"/>
          <w:u w:val="single"/>
        </w:rPr>
      </w:pPr>
      <w:r w:rsidRPr="00686C7B">
        <w:rPr>
          <w:rFonts w:ascii="Times New Roman" w:eastAsia="Times New Roman" w:hAnsi="Times New Roman" w:cs="Times New Roman"/>
          <w:b/>
          <w:sz w:val="20"/>
          <w:szCs w:val="20"/>
          <w:u w:val="single"/>
        </w:rPr>
        <w:lastRenderedPageBreak/>
        <w:t>Country List</w:t>
      </w:r>
    </w:p>
    <w:tbl>
      <w:tblPr>
        <w:tblW w:w="5000" w:type="pct"/>
        <w:tblLook w:val="04A0" w:firstRow="1" w:lastRow="0" w:firstColumn="1" w:lastColumn="0" w:noHBand="0" w:noVBand="1"/>
      </w:tblPr>
      <w:tblGrid>
        <w:gridCol w:w="2784"/>
        <w:gridCol w:w="2701"/>
        <w:gridCol w:w="3371"/>
      </w:tblGrid>
      <w:tr w:rsidR="00997EC9" w:rsidRPr="00997EC9" w14:paraId="5568E9E4" w14:textId="77777777" w:rsidTr="00997EC9">
        <w:trPr>
          <w:trHeight w:val="315"/>
        </w:trPr>
        <w:tc>
          <w:tcPr>
            <w:tcW w:w="1572" w:type="pct"/>
            <w:shd w:val="clear" w:color="auto" w:fill="auto"/>
            <w:noWrap/>
            <w:vAlign w:val="bottom"/>
            <w:hideMark/>
          </w:tcPr>
          <w:p w14:paraId="1CB9ED06"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Argentina</w:t>
            </w:r>
          </w:p>
        </w:tc>
        <w:tc>
          <w:tcPr>
            <w:tcW w:w="1525" w:type="pct"/>
            <w:shd w:val="clear" w:color="auto" w:fill="auto"/>
            <w:noWrap/>
            <w:vAlign w:val="bottom"/>
            <w:hideMark/>
          </w:tcPr>
          <w:p w14:paraId="23C6B76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Gambia, The</w:t>
            </w:r>
          </w:p>
        </w:tc>
        <w:tc>
          <w:tcPr>
            <w:tcW w:w="1903" w:type="pct"/>
            <w:shd w:val="clear" w:color="auto" w:fill="auto"/>
            <w:noWrap/>
            <w:vAlign w:val="bottom"/>
            <w:hideMark/>
          </w:tcPr>
          <w:p w14:paraId="1975C08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Nicaragua</w:t>
            </w:r>
          </w:p>
        </w:tc>
      </w:tr>
      <w:tr w:rsidR="00997EC9" w:rsidRPr="00997EC9" w14:paraId="16C64463" w14:textId="77777777" w:rsidTr="00997EC9">
        <w:trPr>
          <w:trHeight w:val="315"/>
        </w:trPr>
        <w:tc>
          <w:tcPr>
            <w:tcW w:w="1572" w:type="pct"/>
            <w:shd w:val="clear" w:color="auto" w:fill="auto"/>
            <w:noWrap/>
            <w:vAlign w:val="bottom"/>
            <w:hideMark/>
          </w:tcPr>
          <w:p w14:paraId="34E1B5A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Armenia</w:t>
            </w:r>
          </w:p>
        </w:tc>
        <w:tc>
          <w:tcPr>
            <w:tcW w:w="1525" w:type="pct"/>
            <w:shd w:val="clear" w:color="auto" w:fill="auto"/>
            <w:noWrap/>
            <w:vAlign w:val="bottom"/>
            <w:hideMark/>
          </w:tcPr>
          <w:p w14:paraId="5202C21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Georgia</w:t>
            </w:r>
          </w:p>
        </w:tc>
        <w:tc>
          <w:tcPr>
            <w:tcW w:w="1903" w:type="pct"/>
            <w:shd w:val="clear" w:color="auto" w:fill="auto"/>
            <w:noWrap/>
            <w:vAlign w:val="bottom"/>
            <w:hideMark/>
          </w:tcPr>
          <w:p w14:paraId="4EDD31A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Niger</w:t>
            </w:r>
          </w:p>
        </w:tc>
      </w:tr>
      <w:tr w:rsidR="00997EC9" w:rsidRPr="00997EC9" w14:paraId="761AF120" w14:textId="77777777" w:rsidTr="00997EC9">
        <w:trPr>
          <w:trHeight w:val="315"/>
        </w:trPr>
        <w:tc>
          <w:tcPr>
            <w:tcW w:w="1572" w:type="pct"/>
            <w:shd w:val="clear" w:color="auto" w:fill="auto"/>
            <w:noWrap/>
            <w:vAlign w:val="bottom"/>
            <w:hideMark/>
          </w:tcPr>
          <w:p w14:paraId="4F3A3B5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Australia</w:t>
            </w:r>
          </w:p>
        </w:tc>
        <w:tc>
          <w:tcPr>
            <w:tcW w:w="1525" w:type="pct"/>
            <w:shd w:val="clear" w:color="auto" w:fill="auto"/>
            <w:noWrap/>
            <w:vAlign w:val="bottom"/>
            <w:hideMark/>
          </w:tcPr>
          <w:p w14:paraId="08036D59"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Germany</w:t>
            </w:r>
          </w:p>
        </w:tc>
        <w:tc>
          <w:tcPr>
            <w:tcW w:w="1903" w:type="pct"/>
            <w:shd w:val="clear" w:color="auto" w:fill="auto"/>
            <w:noWrap/>
            <w:vAlign w:val="bottom"/>
            <w:hideMark/>
          </w:tcPr>
          <w:p w14:paraId="0686A2A9"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Norway</w:t>
            </w:r>
          </w:p>
        </w:tc>
      </w:tr>
      <w:tr w:rsidR="00997EC9" w:rsidRPr="00997EC9" w14:paraId="5CBCADB6" w14:textId="77777777" w:rsidTr="00997EC9">
        <w:trPr>
          <w:trHeight w:val="315"/>
        </w:trPr>
        <w:tc>
          <w:tcPr>
            <w:tcW w:w="1572" w:type="pct"/>
            <w:shd w:val="clear" w:color="auto" w:fill="auto"/>
            <w:noWrap/>
            <w:vAlign w:val="bottom"/>
            <w:hideMark/>
          </w:tcPr>
          <w:p w14:paraId="02A160A0"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Austria</w:t>
            </w:r>
          </w:p>
        </w:tc>
        <w:tc>
          <w:tcPr>
            <w:tcW w:w="1525" w:type="pct"/>
            <w:shd w:val="clear" w:color="auto" w:fill="auto"/>
            <w:noWrap/>
            <w:vAlign w:val="bottom"/>
            <w:hideMark/>
          </w:tcPr>
          <w:p w14:paraId="0404815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Ghana</w:t>
            </w:r>
          </w:p>
        </w:tc>
        <w:tc>
          <w:tcPr>
            <w:tcW w:w="1903" w:type="pct"/>
            <w:shd w:val="clear" w:color="auto" w:fill="auto"/>
            <w:noWrap/>
            <w:vAlign w:val="bottom"/>
            <w:hideMark/>
          </w:tcPr>
          <w:p w14:paraId="3BE1B3D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Oman</w:t>
            </w:r>
          </w:p>
        </w:tc>
      </w:tr>
      <w:tr w:rsidR="00997EC9" w:rsidRPr="00997EC9" w14:paraId="53DA703D" w14:textId="77777777" w:rsidTr="00997EC9">
        <w:trPr>
          <w:trHeight w:val="315"/>
        </w:trPr>
        <w:tc>
          <w:tcPr>
            <w:tcW w:w="1572" w:type="pct"/>
            <w:shd w:val="clear" w:color="auto" w:fill="auto"/>
            <w:noWrap/>
            <w:vAlign w:val="bottom"/>
            <w:hideMark/>
          </w:tcPr>
          <w:p w14:paraId="4D610AA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Azerbaijan</w:t>
            </w:r>
          </w:p>
        </w:tc>
        <w:tc>
          <w:tcPr>
            <w:tcW w:w="1525" w:type="pct"/>
            <w:shd w:val="clear" w:color="auto" w:fill="auto"/>
            <w:noWrap/>
            <w:vAlign w:val="bottom"/>
            <w:hideMark/>
          </w:tcPr>
          <w:p w14:paraId="1EE2022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Guatemala</w:t>
            </w:r>
          </w:p>
        </w:tc>
        <w:tc>
          <w:tcPr>
            <w:tcW w:w="1903" w:type="pct"/>
            <w:shd w:val="clear" w:color="auto" w:fill="auto"/>
            <w:noWrap/>
            <w:vAlign w:val="bottom"/>
            <w:hideMark/>
          </w:tcPr>
          <w:p w14:paraId="5F79846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Pakistan</w:t>
            </w:r>
          </w:p>
        </w:tc>
      </w:tr>
      <w:tr w:rsidR="00997EC9" w:rsidRPr="00997EC9" w14:paraId="09B15E1A" w14:textId="77777777" w:rsidTr="00997EC9">
        <w:trPr>
          <w:trHeight w:val="315"/>
        </w:trPr>
        <w:tc>
          <w:tcPr>
            <w:tcW w:w="1572" w:type="pct"/>
            <w:shd w:val="clear" w:color="auto" w:fill="auto"/>
            <w:noWrap/>
            <w:vAlign w:val="bottom"/>
            <w:hideMark/>
          </w:tcPr>
          <w:p w14:paraId="7E10ACC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Bangladesh</w:t>
            </w:r>
          </w:p>
        </w:tc>
        <w:tc>
          <w:tcPr>
            <w:tcW w:w="1525" w:type="pct"/>
            <w:shd w:val="clear" w:color="auto" w:fill="auto"/>
            <w:noWrap/>
            <w:vAlign w:val="bottom"/>
            <w:hideMark/>
          </w:tcPr>
          <w:p w14:paraId="60C209B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Guinea</w:t>
            </w:r>
          </w:p>
        </w:tc>
        <w:tc>
          <w:tcPr>
            <w:tcW w:w="1903" w:type="pct"/>
            <w:shd w:val="clear" w:color="auto" w:fill="auto"/>
            <w:noWrap/>
            <w:vAlign w:val="bottom"/>
            <w:hideMark/>
          </w:tcPr>
          <w:p w14:paraId="0EFC8CC7"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Panama</w:t>
            </w:r>
          </w:p>
        </w:tc>
      </w:tr>
      <w:tr w:rsidR="00997EC9" w:rsidRPr="00997EC9" w14:paraId="36D22A73" w14:textId="77777777" w:rsidTr="00997EC9">
        <w:trPr>
          <w:trHeight w:val="315"/>
        </w:trPr>
        <w:tc>
          <w:tcPr>
            <w:tcW w:w="1572" w:type="pct"/>
            <w:shd w:val="clear" w:color="auto" w:fill="auto"/>
            <w:noWrap/>
            <w:vAlign w:val="bottom"/>
            <w:hideMark/>
          </w:tcPr>
          <w:p w14:paraId="7473BA93"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Barbados</w:t>
            </w:r>
          </w:p>
        </w:tc>
        <w:tc>
          <w:tcPr>
            <w:tcW w:w="1525" w:type="pct"/>
            <w:shd w:val="clear" w:color="auto" w:fill="auto"/>
            <w:noWrap/>
            <w:vAlign w:val="bottom"/>
            <w:hideMark/>
          </w:tcPr>
          <w:p w14:paraId="16C97CE9"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Guyana</w:t>
            </w:r>
          </w:p>
        </w:tc>
        <w:tc>
          <w:tcPr>
            <w:tcW w:w="1903" w:type="pct"/>
            <w:shd w:val="clear" w:color="auto" w:fill="auto"/>
            <w:noWrap/>
            <w:vAlign w:val="bottom"/>
            <w:hideMark/>
          </w:tcPr>
          <w:p w14:paraId="4AC9B283"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Paraguay</w:t>
            </w:r>
          </w:p>
        </w:tc>
      </w:tr>
      <w:tr w:rsidR="00997EC9" w:rsidRPr="00997EC9" w14:paraId="5FCC7D4C" w14:textId="77777777" w:rsidTr="00997EC9">
        <w:trPr>
          <w:trHeight w:val="315"/>
        </w:trPr>
        <w:tc>
          <w:tcPr>
            <w:tcW w:w="1572" w:type="pct"/>
            <w:shd w:val="clear" w:color="auto" w:fill="auto"/>
            <w:noWrap/>
            <w:vAlign w:val="bottom"/>
            <w:hideMark/>
          </w:tcPr>
          <w:p w14:paraId="37B355F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Belarus</w:t>
            </w:r>
          </w:p>
        </w:tc>
        <w:tc>
          <w:tcPr>
            <w:tcW w:w="1525" w:type="pct"/>
            <w:shd w:val="clear" w:color="auto" w:fill="auto"/>
            <w:noWrap/>
            <w:vAlign w:val="bottom"/>
            <w:hideMark/>
          </w:tcPr>
          <w:p w14:paraId="75F5DCE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Hong Kong SAR, China</w:t>
            </w:r>
          </w:p>
        </w:tc>
        <w:tc>
          <w:tcPr>
            <w:tcW w:w="1903" w:type="pct"/>
            <w:shd w:val="clear" w:color="auto" w:fill="auto"/>
            <w:noWrap/>
            <w:vAlign w:val="bottom"/>
            <w:hideMark/>
          </w:tcPr>
          <w:p w14:paraId="7428E455"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Peru</w:t>
            </w:r>
          </w:p>
        </w:tc>
      </w:tr>
      <w:tr w:rsidR="00997EC9" w:rsidRPr="00997EC9" w14:paraId="77446AA1" w14:textId="77777777" w:rsidTr="00997EC9">
        <w:trPr>
          <w:trHeight w:val="315"/>
        </w:trPr>
        <w:tc>
          <w:tcPr>
            <w:tcW w:w="1572" w:type="pct"/>
            <w:shd w:val="clear" w:color="auto" w:fill="auto"/>
            <w:noWrap/>
            <w:vAlign w:val="bottom"/>
            <w:hideMark/>
          </w:tcPr>
          <w:p w14:paraId="42EFC685"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Belgium</w:t>
            </w:r>
          </w:p>
        </w:tc>
        <w:tc>
          <w:tcPr>
            <w:tcW w:w="1525" w:type="pct"/>
            <w:shd w:val="clear" w:color="auto" w:fill="auto"/>
            <w:noWrap/>
            <w:vAlign w:val="bottom"/>
            <w:hideMark/>
          </w:tcPr>
          <w:p w14:paraId="039FA41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Hungary</w:t>
            </w:r>
          </w:p>
        </w:tc>
        <w:tc>
          <w:tcPr>
            <w:tcW w:w="1903" w:type="pct"/>
            <w:shd w:val="clear" w:color="auto" w:fill="auto"/>
            <w:noWrap/>
            <w:vAlign w:val="bottom"/>
            <w:hideMark/>
          </w:tcPr>
          <w:p w14:paraId="1E672D5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Philippines</w:t>
            </w:r>
          </w:p>
        </w:tc>
      </w:tr>
      <w:tr w:rsidR="00997EC9" w:rsidRPr="00997EC9" w14:paraId="5CF1D6D1" w14:textId="77777777" w:rsidTr="00997EC9">
        <w:trPr>
          <w:trHeight w:val="315"/>
        </w:trPr>
        <w:tc>
          <w:tcPr>
            <w:tcW w:w="1572" w:type="pct"/>
            <w:shd w:val="clear" w:color="auto" w:fill="auto"/>
            <w:noWrap/>
            <w:vAlign w:val="bottom"/>
            <w:hideMark/>
          </w:tcPr>
          <w:p w14:paraId="16BB898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Belize</w:t>
            </w:r>
          </w:p>
        </w:tc>
        <w:tc>
          <w:tcPr>
            <w:tcW w:w="1525" w:type="pct"/>
            <w:shd w:val="clear" w:color="auto" w:fill="auto"/>
            <w:noWrap/>
            <w:vAlign w:val="bottom"/>
            <w:hideMark/>
          </w:tcPr>
          <w:p w14:paraId="33975D8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Iceland</w:t>
            </w:r>
          </w:p>
        </w:tc>
        <w:tc>
          <w:tcPr>
            <w:tcW w:w="1903" w:type="pct"/>
            <w:shd w:val="clear" w:color="auto" w:fill="auto"/>
            <w:noWrap/>
            <w:vAlign w:val="bottom"/>
            <w:hideMark/>
          </w:tcPr>
          <w:p w14:paraId="50EADB7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Poland</w:t>
            </w:r>
          </w:p>
        </w:tc>
      </w:tr>
      <w:tr w:rsidR="00997EC9" w:rsidRPr="00997EC9" w14:paraId="468AEEEB" w14:textId="77777777" w:rsidTr="00997EC9">
        <w:trPr>
          <w:trHeight w:val="315"/>
        </w:trPr>
        <w:tc>
          <w:tcPr>
            <w:tcW w:w="1572" w:type="pct"/>
            <w:shd w:val="clear" w:color="auto" w:fill="auto"/>
            <w:noWrap/>
            <w:vAlign w:val="bottom"/>
            <w:hideMark/>
          </w:tcPr>
          <w:p w14:paraId="44CAFC6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Bhutan</w:t>
            </w:r>
          </w:p>
        </w:tc>
        <w:tc>
          <w:tcPr>
            <w:tcW w:w="1525" w:type="pct"/>
            <w:shd w:val="clear" w:color="auto" w:fill="auto"/>
            <w:noWrap/>
            <w:vAlign w:val="bottom"/>
            <w:hideMark/>
          </w:tcPr>
          <w:p w14:paraId="3A4295A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India</w:t>
            </w:r>
          </w:p>
        </w:tc>
        <w:tc>
          <w:tcPr>
            <w:tcW w:w="1903" w:type="pct"/>
            <w:shd w:val="clear" w:color="auto" w:fill="auto"/>
            <w:noWrap/>
            <w:vAlign w:val="bottom"/>
            <w:hideMark/>
          </w:tcPr>
          <w:p w14:paraId="2774CA8B"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Portugal</w:t>
            </w:r>
          </w:p>
        </w:tc>
      </w:tr>
      <w:tr w:rsidR="00997EC9" w:rsidRPr="00997EC9" w14:paraId="64F80856" w14:textId="77777777" w:rsidTr="00997EC9">
        <w:trPr>
          <w:trHeight w:val="315"/>
        </w:trPr>
        <w:tc>
          <w:tcPr>
            <w:tcW w:w="1572" w:type="pct"/>
            <w:shd w:val="clear" w:color="auto" w:fill="auto"/>
            <w:noWrap/>
            <w:vAlign w:val="bottom"/>
            <w:hideMark/>
          </w:tcPr>
          <w:p w14:paraId="5AFC7E9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Bolivia</w:t>
            </w:r>
          </w:p>
        </w:tc>
        <w:tc>
          <w:tcPr>
            <w:tcW w:w="1525" w:type="pct"/>
            <w:shd w:val="clear" w:color="auto" w:fill="auto"/>
            <w:noWrap/>
            <w:vAlign w:val="bottom"/>
            <w:hideMark/>
          </w:tcPr>
          <w:p w14:paraId="2391632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Indonesia</w:t>
            </w:r>
          </w:p>
        </w:tc>
        <w:tc>
          <w:tcPr>
            <w:tcW w:w="1903" w:type="pct"/>
            <w:shd w:val="clear" w:color="auto" w:fill="auto"/>
            <w:noWrap/>
            <w:vAlign w:val="bottom"/>
            <w:hideMark/>
          </w:tcPr>
          <w:p w14:paraId="1B9602D9"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Romania</w:t>
            </w:r>
          </w:p>
        </w:tc>
      </w:tr>
      <w:tr w:rsidR="00997EC9" w:rsidRPr="00997EC9" w14:paraId="475640AE" w14:textId="77777777" w:rsidTr="00997EC9">
        <w:trPr>
          <w:trHeight w:val="315"/>
        </w:trPr>
        <w:tc>
          <w:tcPr>
            <w:tcW w:w="1572" w:type="pct"/>
            <w:shd w:val="clear" w:color="auto" w:fill="auto"/>
            <w:noWrap/>
            <w:vAlign w:val="bottom"/>
            <w:hideMark/>
          </w:tcPr>
          <w:p w14:paraId="1A64AC5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Botswana</w:t>
            </w:r>
          </w:p>
        </w:tc>
        <w:tc>
          <w:tcPr>
            <w:tcW w:w="1525" w:type="pct"/>
            <w:shd w:val="clear" w:color="auto" w:fill="auto"/>
            <w:noWrap/>
            <w:vAlign w:val="bottom"/>
            <w:hideMark/>
          </w:tcPr>
          <w:p w14:paraId="2334BBC2"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Iran, Islamic Rep.</w:t>
            </w:r>
          </w:p>
        </w:tc>
        <w:tc>
          <w:tcPr>
            <w:tcW w:w="1903" w:type="pct"/>
            <w:shd w:val="clear" w:color="auto" w:fill="auto"/>
            <w:noWrap/>
            <w:vAlign w:val="bottom"/>
            <w:hideMark/>
          </w:tcPr>
          <w:p w14:paraId="3913CAC2"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Russian Federation</w:t>
            </w:r>
          </w:p>
        </w:tc>
      </w:tr>
      <w:tr w:rsidR="00997EC9" w:rsidRPr="00997EC9" w14:paraId="6B93B8AB" w14:textId="77777777" w:rsidTr="00997EC9">
        <w:trPr>
          <w:trHeight w:val="315"/>
        </w:trPr>
        <w:tc>
          <w:tcPr>
            <w:tcW w:w="1572" w:type="pct"/>
            <w:shd w:val="clear" w:color="auto" w:fill="auto"/>
            <w:noWrap/>
            <w:vAlign w:val="bottom"/>
            <w:hideMark/>
          </w:tcPr>
          <w:p w14:paraId="52FC22A2"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Brazil</w:t>
            </w:r>
          </w:p>
        </w:tc>
        <w:tc>
          <w:tcPr>
            <w:tcW w:w="1525" w:type="pct"/>
            <w:shd w:val="clear" w:color="auto" w:fill="auto"/>
            <w:noWrap/>
            <w:vAlign w:val="bottom"/>
            <w:hideMark/>
          </w:tcPr>
          <w:p w14:paraId="2DC98F5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Ireland</w:t>
            </w:r>
          </w:p>
        </w:tc>
        <w:tc>
          <w:tcPr>
            <w:tcW w:w="1903" w:type="pct"/>
            <w:shd w:val="clear" w:color="auto" w:fill="auto"/>
            <w:noWrap/>
            <w:vAlign w:val="bottom"/>
            <w:hideMark/>
          </w:tcPr>
          <w:p w14:paraId="288E064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Rwanda</w:t>
            </w:r>
          </w:p>
        </w:tc>
      </w:tr>
      <w:tr w:rsidR="00997EC9" w:rsidRPr="00997EC9" w14:paraId="5483FE4F" w14:textId="77777777" w:rsidTr="00997EC9">
        <w:trPr>
          <w:trHeight w:val="315"/>
        </w:trPr>
        <w:tc>
          <w:tcPr>
            <w:tcW w:w="1572" w:type="pct"/>
            <w:shd w:val="clear" w:color="auto" w:fill="auto"/>
            <w:noWrap/>
            <w:vAlign w:val="bottom"/>
            <w:hideMark/>
          </w:tcPr>
          <w:p w14:paraId="1D206106"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Brunei Darussalam</w:t>
            </w:r>
          </w:p>
        </w:tc>
        <w:tc>
          <w:tcPr>
            <w:tcW w:w="1525" w:type="pct"/>
            <w:shd w:val="clear" w:color="auto" w:fill="auto"/>
            <w:noWrap/>
            <w:vAlign w:val="bottom"/>
            <w:hideMark/>
          </w:tcPr>
          <w:p w14:paraId="7E36E20B"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Italy</w:t>
            </w:r>
          </w:p>
        </w:tc>
        <w:tc>
          <w:tcPr>
            <w:tcW w:w="1903" w:type="pct"/>
            <w:shd w:val="clear" w:color="auto" w:fill="auto"/>
            <w:noWrap/>
            <w:vAlign w:val="bottom"/>
            <w:hideMark/>
          </w:tcPr>
          <w:p w14:paraId="1A8AA90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Saudi Arabia</w:t>
            </w:r>
          </w:p>
        </w:tc>
      </w:tr>
      <w:tr w:rsidR="00997EC9" w:rsidRPr="00997EC9" w14:paraId="147244DF" w14:textId="77777777" w:rsidTr="00997EC9">
        <w:trPr>
          <w:trHeight w:val="315"/>
        </w:trPr>
        <w:tc>
          <w:tcPr>
            <w:tcW w:w="1572" w:type="pct"/>
            <w:shd w:val="clear" w:color="auto" w:fill="auto"/>
            <w:noWrap/>
            <w:vAlign w:val="bottom"/>
            <w:hideMark/>
          </w:tcPr>
          <w:p w14:paraId="66C00B7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Bulgaria</w:t>
            </w:r>
          </w:p>
        </w:tc>
        <w:tc>
          <w:tcPr>
            <w:tcW w:w="1525" w:type="pct"/>
            <w:shd w:val="clear" w:color="auto" w:fill="auto"/>
            <w:noWrap/>
            <w:vAlign w:val="bottom"/>
            <w:hideMark/>
          </w:tcPr>
          <w:p w14:paraId="7083D9B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Jamaica</w:t>
            </w:r>
          </w:p>
        </w:tc>
        <w:tc>
          <w:tcPr>
            <w:tcW w:w="1903" w:type="pct"/>
            <w:shd w:val="clear" w:color="auto" w:fill="auto"/>
            <w:noWrap/>
            <w:vAlign w:val="bottom"/>
            <w:hideMark/>
          </w:tcPr>
          <w:p w14:paraId="0D4468B9"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Senegal</w:t>
            </w:r>
          </w:p>
        </w:tc>
      </w:tr>
      <w:tr w:rsidR="00997EC9" w:rsidRPr="00997EC9" w14:paraId="31DC5238" w14:textId="77777777" w:rsidTr="00997EC9">
        <w:trPr>
          <w:trHeight w:val="315"/>
        </w:trPr>
        <w:tc>
          <w:tcPr>
            <w:tcW w:w="1572" w:type="pct"/>
            <w:shd w:val="clear" w:color="auto" w:fill="auto"/>
            <w:noWrap/>
            <w:vAlign w:val="bottom"/>
            <w:hideMark/>
          </w:tcPr>
          <w:p w14:paraId="7EC8D34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Burkina Faso</w:t>
            </w:r>
          </w:p>
        </w:tc>
        <w:tc>
          <w:tcPr>
            <w:tcW w:w="1525" w:type="pct"/>
            <w:shd w:val="clear" w:color="auto" w:fill="auto"/>
            <w:noWrap/>
            <w:vAlign w:val="bottom"/>
            <w:hideMark/>
          </w:tcPr>
          <w:p w14:paraId="795F75A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Japan</w:t>
            </w:r>
          </w:p>
        </w:tc>
        <w:tc>
          <w:tcPr>
            <w:tcW w:w="1903" w:type="pct"/>
            <w:shd w:val="clear" w:color="auto" w:fill="auto"/>
            <w:noWrap/>
            <w:vAlign w:val="bottom"/>
            <w:hideMark/>
          </w:tcPr>
          <w:p w14:paraId="5E31A6E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Sierra Leone</w:t>
            </w:r>
          </w:p>
        </w:tc>
      </w:tr>
      <w:tr w:rsidR="00997EC9" w:rsidRPr="00997EC9" w14:paraId="05946CF7" w14:textId="77777777" w:rsidTr="00997EC9">
        <w:trPr>
          <w:trHeight w:val="315"/>
        </w:trPr>
        <w:tc>
          <w:tcPr>
            <w:tcW w:w="1572" w:type="pct"/>
            <w:shd w:val="clear" w:color="auto" w:fill="auto"/>
            <w:noWrap/>
            <w:vAlign w:val="bottom"/>
            <w:hideMark/>
          </w:tcPr>
          <w:p w14:paraId="6C4AFC9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Burundi</w:t>
            </w:r>
          </w:p>
        </w:tc>
        <w:tc>
          <w:tcPr>
            <w:tcW w:w="1525" w:type="pct"/>
            <w:shd w:val="clear" w:color="auto" w:fill="auto"/>
            <w:noWrap/>
            <w:vAlign w:val="bottom"/>
            <w:hideMark/>
          </w:tcPr>
          <w:p w14:paraId="13C838CB"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Kazakhstan</w:t>
            </w:r>
          </w:p>
        </w:tc>
        <w:tc>
          <w:tcPr>
            <w:tcW w:w="1903" w:type="pct"/>
            <w:shd w:val="clear" w:color="auto" w:fill="auto"/>
            <w:noWrap/>
            <w:vAlign w:val="bottom"/>
            <w:hideMark/>
          </w:tcPr>
          <w:p w14:paraId="03378FC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Slovak Republic</w:t>
            </w:r>
          </w:p>
        </w:tc>
      </w:tr>
      <w:tr w:rsidR="00997EC9" w:rsidRPr="00997EC9" w14:paraId="08AF754F" w14:textId="77777777" w:rsidTr="00997EC9">
        <w:trPr>
          <w:trHeight w:val="315"/>
        </w:trPr>
        <w:tc>
          <w:tcPr>
            <w:tcW w:w="1572" w:type="pct"/>
            <w:shd w:val="clear" w:color="auto" w:fill="auto"/>
            <w:noWrap/>
            <w:vAlign w:val="bottom"/>
            <w:hideMark/>
          </w:tcPr>
          <w:p w14:paraId="2A24E9C5"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Cambodia</w:t>
            </w:r>
          </w:p>
        </w:tc>
        <w:tc>
          <w:tcPr>
            <w:tcW w:w="1525" w:type="pct"/>
            <w:shd w:val="clear" w:color="auto" w:fill="auto"/>
            <w:noWrap/>
            <w:vAlign w:val="bottom"/>
            <w:hideMark/>
          </w:tcPr>
          <w:p w14:paraId="6528F136"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Kenya</w:t>
            </w:r>
          </w:p>
        </w:tc>
        <w:tc>
          <w:tcPr>
            <w:tcW w:w="1903" w:type="pct"/>
            <w:shd w:val="clear" w:color="auto" w:fill="auto"/>
            <w:noWrap/>
            <w:vAlign w:val="bottom"/>
            <w:hideMark/>
          </w:tcPr>
          <w:p w14:paraId="6EBAA095"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Slovenia</w:t>
            </w:r>
          </w:p>
        </w:tc>
      </w:tr>
      <w:tr w:rsidR="00997EC9" w:rsidRPr="00997EC9" w14:paraId="52AB6AE3" w14:textId="77777777" w:rsidTr="00997EC9">
        <w:trPr>
          <w:trHeight w:val="315"/>
        </w:trPr>
        <w:tc>
          <w:tcPr>
            <w:tcW w:w="1572" w:type="pct"/>
            <w:shd w:val="clear" w:color="auto" w:fill="auto"/>
            <w:noWrap/>
            <w:vAlign w:val="bottom"/>
            <w:hideMark/>
          </w:tcPr>
          <w:p w14:paraId="4E3410DE"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Cameroon</w:t>
            </w:r>
          </w:p>
        </w:tc>
        <w:tc>
          <w:tcPr>
            <w:tcW w:w="1525" w:type="pct"/>
            <w:shd w:val="clear" w:color="auto" w:fill="auto"/>
            <w:noWrap/>
            <w:vAlign w:val="bottom"/>
            <w:hideMark/>
          </w:tcPr>
          <w:p w14:paraId="3E78053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Korea, Rep.</w:t>
            </w:r>
          </w:p>
        </w:tc>
        <w:tc>
          <w:tcPr>
            <w:tcW w:w="1903" w:type="pct"/>
            <w:shd w:val="clear" w:color="auto" w:fill="auto"/>
            <w:noWrap/>
            <w:vAlign w:val="bottom"/>
            <w:hideMark/>
          </w:tcPr>
          <w:p w14:paraId="1D6BFBE6"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South Africa</w:t>
            </w:r>
          </w:p>
        </w:tc>
      </w:tr>
      <w:tr w:rsidR="00997EC9" w:rsidRPr="00997EC9" w14:paraId="67CF5153" w14:textId="77777777" w:rsidTr="00997EC9">
        <w:trPr>
          <w:trHeight w:val="315"/>
        </w:trPr>
        <w:tc>
          <w:tcPr>
            <w:tcW w:w="1572" w:type="pct"/>
            <w:shd w:val="clear" w:color="auto" w:fill="auto"/>
            <w:noWrap/>
            <w:vAlign w:val="bottom"/>
            <w:hideMark/>
          </w:tcPr>
          <w:p w14:paraId="1530797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Canada</w:t>
            </w:r>
          </w:p>
        </w:tc>
        <w:tc>
          <w:tcPr>
            <w:tcW w:w="1525" w:type="pct"/>
            <w:shd w:val="clear" w:color="auto" w:fill="auto"/>
            <w:noWrap/>
            <w:vAlign w:val="bottom"/>
            <w:hideMark/>
          </w:tcPr>
          <w:p w14:paraId="7FB1368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Kuwait</w:t>
            </w:r>
          </w:p>
        </w:tc>
        <w:tc>
          <w:tcPr>
            <w:tcW w:w="1903" w:type="pct"/>
            <w:shd w:val="clear" w:color="auto" w:fill="auto"/>
            <w:noWrap/>
            <w:vAlign w:val="bottom"/>
            <w:hideMark/>
          </w:tcPr>
          <w:p w14:paraId="4C86BB6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Spain</w:t>
            </w:r>
          </w:p>
        </w:tc>
      </w:tr>
      <w:tr w:rsidR="00997EC9" w:rsidRPr="00997EC9" w14:paraId="34D3F356" w14:textId="77777777" w:rsidTr="00997EC9">
        <w:trPr>
          <w:trHeight w:val="315"/>
        </w:trPr>
        <w:tc>
          <w:tcPr>
            <w:tcW w:w="1572" w:type="pct"/>
            <w:shd w:val="clear" w:color="auto" w:fill="auto"/>
            <w:noWrap/>
            <w:vAlign w:val="bottom"/>
            <w:hideMark/>
          </w:tcPr>
          <w:p w14:paraId="176FDC3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Cape Verde</w:t>
            </w:r>
          </w:p>
        </w:tc>
        <w:tc>
          <w:tcPr>
            <w:tcW w:w="1525" w:type="pct"/>
            <w:shd w:val="clear" w:color="auto" w:fill="auto"/>
            <w:noWrap/>
            <w:vAlign w:val="bottom"/>
            <w:hideMark/>
          </w:tcPr>
          <w:p w14:paraId="39609FA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Kyrgyz Republic</w:t>
            </w:r>
          </w:p>
        </w:tc>
        <w:tc>
          <w:tcPr>
            <w:tcW w:w="1903" w:type="pct"/>
            <w:shd w:val="clear" w:color="auto" w:fill="auto"/>
            <w:noWrap/>
            <w:vAlign w:val="bottom"/>
            <w:hideMark/>
          </w:tcPr>
          <w:p w14:paraId="4ADA53F6"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Sri Lanka</w:t>
            </w:r>
          </w:p>
        </w:tc>
      </w:tr>
      <w:tr w:rsidR="00997EC9" w:rsidRPr="00997EC9" w14:paraId="26014907" w14:textId="77777777" w:rsidTr="00997EC9">
        <w:trPr>
          <w:trHeight w:val="315"/>
        </w:trPr>
        <w:tc>
          <w:tcPr>
            <w:tcW w:w="1572" w:type="pct"/>
            <w:shd w:val="clear" w:color="auto" w:fill="auto"/>
            <w:noWrap/>
            <w:vAlign w:val="bottom"/>
            <w:hideMark/>
          </w:tcPr>
          <w:p w14:paraId="422B0475"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Central African Republic</w:t>
            </w:r>
          </w:p>
        </w:tc>
        <w:tc>
          <w:tcPr>
            <w:tcW w:w="1525" w:type="pct"/>
            <w:shd w:val="clear" w:color="auto" w:fill="auto"/>
            <w:noWrap/>
            <w:vAlign w:val="bottom"/>
            <w:hideMark/>
          </w:tcPr>
          <w:p w14:paraId="0756CAA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Latvia</w:t>
            </w:r>
          </w:p>
        </w:tc>
        <w:tc>
          <w:tcPr>
            <w:tcW w:w="1903" w:type="pct"/>
            <w:shd w:val="clear" w:color="auto" w:fill="auto"/>
            <w:noWrap/>
            <w:vAlign w:val="bottom"/>
            <w:hideMark/>
          </w:tcPr>
          <w:p w14:paraId="27A953D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St. Lucia</w:t>
            </w:r>
          </w:p>
        </w:tc>
      </w:tr>
      <w:tr w:rsidR="00997EC9" w:rsidRPr="00997EC9" w14:paraId="6C885EBE" w14:textId="77777777" w:rsidTr="00997EC9">
        <w:trPr>
          <w:trHeight w:val="315"/>
        </w:trPr>
        <w:tc>
          <w:tcPr>
            <w:tcW w:w="1572" w:type="pct"/>
            <w:shd w:val="clear" w:color="auto" w:fill="auto"/>
            <w:noWrap/>
            <w:vAlign w:val="bottom"/>
            <w:hideMark/>
          </w:tcPr>
          <w:p w14:paraId="1A5B4BB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Chile</w:t>
            </w:r>
          </w:p>
        </w:tc>
        <w:tc>
          <w:tcPr>
            <w:tcW w:w="1525" w:type="pct"/>
            <w:shd w:val="clear" w:color="auto" w:fill="auto"/>
            <w:noWrap/>
            <w:vAlign w:val="bottom"/>
            <w:hideMark/>
          </w:tcPr>
          <w:p w14:paraId="3B7376FB"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Lebanon</w:t>
            </w:r>
          </w:p>
        </w:tc>
        <w:tc>
          <w:tcPr>
            <w:tcW w:w="1903" w:type="pct"/>
            <w:shd w:val="clear" w:color="auto" w:fill="auto"/>
            <w:noWrap/>
            <w:vAlign w:val="bottom"/>
            <w:hideMark/>
          </w:tcPr>
          <w:p w14:paraId="57A83F1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St. Vincent and the Grenadines</w:t>
            </w:r>
          </w:p>
        </w:tc>
      </w:tr>
      <w:tr w:rsidR="00997EC9" w:rsidRPr="00997EC9" w14:paraId="15AC7FFA" w14:textId="77777777" w:rsidTr="00997EC9">
        <w:trPr>
          <w:trHeight w:val="315"/>
        </w:trPr>
        <w:tc>
          <w:tcPr>
            <w:tcW w:w="1572" w:type="pct"/>
            <w:shd w:val="clear" w:color="auto" w:fill="auto"/>
            <w:noWrap/>
            <w:vAlign w:val="bottom"/>
            <w:hideMark/>
          </w:tcPr>
          <w:p w14:paraId="46A78A9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China</w:t>
            </w:r>
          </w:p>
        </w:tc>
        <w:tc>
          <w:tcPr>
            <w:tcW w:w="1525" w:type="pct"/>
            <w:shd w:val="clear" w:color="auto" w:fill="auto"/>
            <w:noWrap/>
            <w:vAlign w:val="bottom"/>
            <w:hideMark/>
          </w:tcPr>
          <w:p w14:paraId="247DC94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Lesotho</w:t>
            </w:r>
          </w:p>
        </w:tc>
        <w:tc>
          <w:tcPr>
            <w:tcW w:w="1903" w:type="pct"/>
            <w:shd w:val="clear" w:color="auto" w:fill="auto"/>
            <w:noWrap/>
            <w:vAlign w:val="bottom"/>
            <w:hideMark/>
          </w:tcPr>
          <w:p w14:paraId="08A0A37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Swaziland</w:t>
            </w:r>
          </w:p>
        </w:tc>
      </w:tr>
      <w:tr w:rsidR="00997EC9" w:rsidRPr="00997EC9" w14:paraId="24FC6150" w14:textId="77777777" w:rsidTr="00997EC9">
        <w:trPr>
          <w:trHeight w:val="315"/>
        </w:trPr>
        <w:tc>
          <w:tcPr>
            <w:tcW w:w="1572" w:type="pct"/>
            <w:shd w:val="clear" w:color="auto" w:fill="auto"/>
            <w:noWrap/>
            <w:vAlign w:val="bottom"/>
            <w:hideMark/>
          </w:tcPr>
          <w:p w14:paraId="15B6489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Colombia</w:t>
            </w:r>
          </w:p>
        </w:tc>
        <w:tc>
          <w:tcPr>
            <w:tcW w:w="1525" w:type="pct"/>
            <w:shd w:val="clear" w:color="auto" w:fill="auto"/>
            <w:noWrap/>
            <w:vAlign w:val="bottom"/>
            <w:hideMark/>
          </w:tcPr>
          <w:p w14:paraId="0D0B166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Lithuania</w:t>
            </w:r>
          </w:p>
        </w:tc>
        <w:tc>
          <w:tcPr>
            <w:tcW w:w="1903" w:type="pct"/>
            <w:shd w:val="clear" w:color="auto" w:fill="auto"/>
            <w:noWrap/>
            <w:vAlign w:val="bottom"/>
            <w:hideMark/>
          </w:tcPr>
          <w:p w14:paraId="7D684A6E"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Sweden</w:t>
            </w:r>
          </w:p>
        </w:tc>
      </w:tr>
      <w:tr w:rsidR="00997EC9" w:rsidRPr="00997EC9" w14:paraId="402FC627" w14:textId="77777777" w:rsidTr="00997EC9">
        <w:trPr>
          <w:trHeight w:val="315"/>
        </w:trPr>
        <w:tc>
          <w:tcPr>
            <w:tcW w:w="1572" w:type="pct"/>
            <w:shd w:val="clear" w:color="auto" w:fill="auto"/>
            <w:noWrap/>
            <w:vAlign w:val="bottom"/>
            <w:hideMark/>
          </w:tcPr>
          <w:p w14:paraId="012DFD9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Comoros</w:t>
            </w:r>
          </w:p>
        </w:tc>
        <w:tc>
          <w:tcPr>
            <w:tcW w:w="1525" w:type="pct"/>
            <w:shd w:val="clear" w:color="auto" w:fill="auto"/>
            <w:noWrap/>
            <w:vAlign w:val="bottom"/>
            <w:hideMark/>
          </w:tcPr>
          <w:p w14:paraId="5C65BD2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Macao SAR, China</w:t>
            </w:r>
          </w:p>
        </w:tc>
        <w:tc>
          <w:tcPr>
            <w:tcW w:w="1903" w:type="pct"/>
            <w:shd w:val="clear" w:color="auto" w:fill="auto"/>
            <w:noWrap/>
            <w:vAlign w:val="bottom"/>
            <w:hideMark/>
          </w:tcPr>
          <w:p w14:paraId="461574D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Switzerland</w:t>
            </w:r>
          </w:p>
        </w:tc>
      </w:tr>
      <w:tr w:rsidR="00997EC9" w:rsidRPr="00997EC9" w14:paraId="333D84BA" w14:textId="77777777" w:rsidTr="00997EC9">
        <w:trPr>
          <w:trHeight w:val="315"/>
        </w:trPr>
        <w:tc>
          <w:tcPr>
            <w:tcW w:w="1572" w:type="pct"/>
            <w:shd w:val="clear" w:color="auto" w:fill="auto"/>
            <w:noWrap/>
            <w:vAlign w:val="bottom"/>
            <w:hideMark/>
          </w:tcPr>
          <w:p w14:paraId="03D1978B"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Costa Rica</w:t>
            </w:r>
          </w:p>
        </w:tc>
        <w:tc>
          <w:tcPr>
            <w:tcW w:w="1525" w:type="pct"/>
            <w:shd w:val="clear" w:color="auto" w:fill="auto"/>
            <w:noWrap/>
            <w:vAlign w:val="bottom"/>
            <w:hideMark/>
          </w:tcPr>
          <w:p w14:paraId="1AAF6D0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Madagascar</w:t>
            </w:r>
          </w:p>
        </w:tc>
        <w:tc>
          <w:tcPr>
            <w:tcW w:w="1903" w:type="pct"/>
            <w:shd w:val="clear" w:color="auto" w:fill="auto"/>
            <w:noWrap/>
            <w:vAlign w:val="bottom"/>
            <w:hideMark/>
          </w:tcPr>
          <w:p w14:paraId="56F5EAC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Syrian Arab Republic</w:t>
            </w:r>
          </w:p>
        </w:tc>
      </w:tr>
      <w:tr w:rsidR="00997EC9" w:rsidRPr="00997EC9" w14:paraId="0B979743" w14:textId="77777777" w:rsidTr="00997EC9">
        <w:trPr>
          <w:trHeight w:val="315"/>
        </w:trPr>
        <w:tc>
          <w:tcPr>
            <w:tcW w:w="1572" w:type="pct"/>
            <w:shd w:val="clear" w:color="auto" w:fill="auto"/>
            <w:noWrap/>
            <w:vAlign w:val="bottom"/>
            <w:hideMark/>
          </w:tcPr>
          <w:p w14:paraId="5A19ADA2"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Cote d'Ivoire</w:t>
            </w:r>
          </w:p>
        </w:tc>
        <w:tc>
          <w:tcPr>
            <w:tcW w:w="1525" w:type="pct"/>
            <w:shd w:val="clear" w:color="auto" w:fill="auto"/>
            <w:noWrap/>
            <w:vAlign w:val="bottom"/>
            <w:hideMark/>
          </w:tcPr>
          <w:p w14:paraId="2627066E"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Malawi</w:t>
            </w:r>
          </w:p>
        </w:tc>
        <w:tc>
          <w:tcPr>
            <w:tcW w:w="1903" w:type="pct"/>
            <w:shd w:val="clear" w:color="auto" w:fill="auto"/>
            <w:noWrap/>
            <w:vAlign w:val="bottom"/>
            <w:hideMark/>
          </w:tcPr>
          <w:p w14:paraId="422E76F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Tanzania</w:t>
            </w:r>
          </w:p>
        </w:tc>
      </w:tr>
      <w:tr w:rsidR="00997EC9" w:rsidRPr="00997EC9" w14:paraId="113DD4CB" w14:textId="77777777" w:rsidTr="00997EC9">
        <w:trPr>
          <w:trHeight w:val="315"/>
        </w:trPr>
        <w:tc>
          <w:tcPr>
            <w:tcW w:w="1572" w:type="pct"/>
            <w:shd w:val="clear" w:color="auto" w:fill="auto"/>
            <w:noWrap/>
            <w:vAlign w:val="bottom"/>
            <w:hideMark/>
          </w:tcPr>
          <w:p w14:paraId="5192A687"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Croatia</w:t>
            </w:r>
          </w:p>
        </w:tc>
        <w:tc>
          <w:tcPr>
            <w:tcW w:w="1525" w:type="pct"/>
            <w:shd w:val="clear" w:color="auto" w:fill="auto"/>
            <w:noWrap/>
            <w:vAlign w:val="bottom"/>
            <w:hideMark/>
          </w:tcPr>
          <w:p w14:paraId="020B63E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Malaysia</w:t>
            </w:r>
          </w:p>
        </w:tc>
        <w:tc>
          <w:tcPr>
            <w:tcW w:w="1903" w:type="pct"/>
            <w:shd w:val="clear" w:color="auto" w:fill="auto"/>
            <w:noWrap/>
            <w:vAlign w:val="bottom"/>
            <w:hideMark/>
          </w:tcPr>
          <w:p w14:paraId="0A0587F7"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Thailand</w:t>
            </w:r>
          </w:p>
        </w:tc>
      </w:tr>
      <w:tr w:rsidR="00997EC9" w:rsidRPr="00997EC9" w14:paraId="03B743E8" w14:textId="77777777" w:rsidTr="00997EC9">
        <w:trPr>
          <w:trHeight w:val="315"/>
        </w:trPr>
        <w:tc>
          <w:tcPr>
            <w:tcW w:w="1572" w:type="pct"/>
            <w:shd w:val="clear" w:color="auto" w:fill="auto"/>
            <w:noWrap/>
            <w:vAlign w:val="bottom"/>
            <w:hideMark/>
          </w:tcPr>
          <w:p w14:paraId="0C1933D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Cyprus</w:t>
            </w:r>
          </w:p>
        </w:tc>
        <w:tc>
          <w:tcPr>
            <w:tcW w:w="1525" w:type="pct"/>
            <w:shd w:val="clear" w:color="auto" w:fill="auto"/>
            <w:noWrap/>
            <w:vAlign w:val="bottom"/>
            <w:hideMark/>
          </w:tcPr>
          <w:p w14:paraId="3DE6DAB2"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Maldives</w:t>
            </w:r>
          </w:p>
        </w:tc>
        <w:tc>
          <w:tcPr>
            <w:tcW w:w="1903" w:type="pct"/>
            <w:shd w:val="clear" w:color="auto" w:fill="auto"/>
            <w:noWrap/>
            <w:vAlign w:val="bottom"/>
            <w:hideMark/>
          </w:tcPr>
          <w:p w14:paraId="5C60AC1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Togo</w:t>
            </w:r>
          </w:p>
        </w:tc>
      </w:tr>
      <w:tr w:rsidR="00997EC9" w:rsidRPr="00997EC9" w14:paraId="41A6D3BB" w14:textId="77777777" w:rsidTr="00997EC9">
        <w:trPr>
          <w:trHeight w:val="315"/>
        </w:trPr>
        <w:tc>
          <w:tcPr>
            <w:tcW w:w="1572" w:type="pct"/>
            <w:shd w:val="clear" w:color="auto" w:fill="auto"/>
            <w:noWrap/>
            <w:vAlign w:val="bottom"/>
            <w:hideMark/>
          </w:tcPr>
          <w:p w14:paraId="28B4C252"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Czech Republic</w:t>
            </w:r>
          </w:p>
        </w:tc>
        <w:tc>
          <w:tcPr>
            <w:tcW w:w="1525" w:type="pct"/>
            <w:shd w:val="clear" w:color="auto" w:fill="auto"/>
            <w:noWrap/>
            <w:vAlign w:val="bottom"/>
            <w:hideMark/>
          </w:tcPr>
          <w:p w14:paraId="398F8F9E"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Mali</w:t>
            </w:r>
          </w:p>
        </w:tc>
        <w:tc>
          <w:tcPr>
            <w:tcW w:w="1903" w:type="pct"/>
            <w:shd w:val="clear" w:color="auto" w:fill="auto"/>
            <w:noWrap/>
            <w:vAlign w:val="bottom"/>
            <w:hideMark/>
          </w:tcPr>
          <w:p w14:paraId="53857358"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Tonga</w:t>
            </w:r>
          </w:p>
        </w:tc>
      </w:tr>
      <w:tr w:rsidR="00997EC9" w:rsidRPr="00997EC9" w14:paraId="4368E016" w14:textId="77777777" w:rsidTr="00997EC9">
        <w:trPr>
          <w:trHeight w:val="315"/>
        </w:trPr>
        <w:tc>
          <w:tcPr>
            <w:tcW w:w="1572" w:type="pct"/>
            <w:shd w:val="clear" w:color="auto" w:fill="auto"/>
            <w:noWrap/>
            <w:vAlign w:val="bottom"/>
            <w:hideMark/>
          </w:tcPr>
          <w:p w14:paraId="381581D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Denmark</w:t>
            </w:r>
          </w:p>
        </w:tc>
        <w:tc>
          <w:tcPr>
            <w:tcW w:w="1525" w:type="pct"/>
            <w:shd w:val="clear" w:color="auto" w:fill="auto"/>
            <w:noWrap/>
            <w:vAlign w:val="bottom"/>
            <w:hideMark/>
          </w:tcPr>
          <w:p w14:paraId="2C227423"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Malta</w:t>
            </w:r>
          </w:p>
        </w:tc>
        <w:tc>
          <w:tcPr>
            <w:tcW w:w="1903" w:type="pct"/>
            <w:shd w:val="clear" w:color="auto" w:fill="auto"/>
            <w:noWrap/>
            <w:vAlign w:val="bottom"/>
            <w:hideMark/>
          </w:tcPr>
          <w:p w14:paraId="40CE3F8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Trinidad and Tobago</w:t>
            </w:r>
          </w:p>
        </w:tc>
      </w:tr>
      <w:tr w:rsidR="00997EC9" w:rsidRPr="00997EC9" w14:paraId="5740C0B9" w14:textId="77777777" w:rsidTr="00997EC9">
        <w:trPr>
          <w:trHeight w:val="315"/>
        </w:trPr>
        <w:tc>
          <w:tcPr>
            <w:tcW w:w="1572" w:type="pct"/>
            <w:shd w:val="clear" w:color="auto" w:fill="auto"/>
            <w:noWrap/>
            <w:vAlign w:val="bottom"/>
            <w:hideMark/>
          </w:tcPr>
          <w:p w14:paraId="296979F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Dominican Republic</w:t>
            </w:r>
          </w:p>
        </w:tc>
        <w:tc>
          <w:tcPr>
            <w:tcW w:w="1525" w:type="pct"/>
            <w:shd w:val="clear" w:color="auto" w:fill="auto"/>
            <w:noWrap/>
            <w:vAlign w:val="bottom"/>
            <w:hideMark/>
          </w:tcPr>
          <w:p w14:paraId="4E79E27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Mauritania</w:t>
            </w:r>
          </w:p>
        </w:tc>
        <w:tc>
          <w:tcPr>
            <w:tcW w:w="1903" w:type="pct"/>
            <w:shd w:val="clear" w:color="auto" w:fill="auto"/>
            <w:noWrap/>
            <w:vAlign w:val="bottom"/>
            <w:hideMark/>
          </w:tcPr>
          <w:p w14:paraId="34F28763"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Tunisia</w:t>
            </w:r>
          </w:p>
        </w:tc>
      </w:tr>
      <w:tr w:rsidR="00997EC9" w:rsidRPr="00997EC9" w14:paraId="03B82908" w14:textId="77777777" w:rsidTr="00997EC9">
        <w:trPr>
          <w:trHeight w:val="315"/>
        </w:trPr>
        <w:tc>
          <w:tcPr>
            <w:tcW w:w="1572" w:type="pct"/>
            <w:shd w:val="clear" w:color="auto" w:fill="auto"/>
            <w:noWrap/>
            <w:vAlign w:val="bottom"/>
            <w:hideMark/>
          </w:tcPr>
          <w:p w14:paraId="6A2E584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Ecuador</w:t>
            </w:r>
          </w:p>
        </w:tc>
        <w:tc>
          <w:tcPr>
            <w:tcW w:w="1525" w:type="pct"/>
            <w:shd w:val="clear" w:color="auto" w:fill="auto"/>
            <w:noWrap/>
            <w:vAlign w:val="bottom"/>
            <w:hideMark/>
          </w:tcPr>
          <w:p w14:paraId="0EFDFBFB"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Mauritius</w:t>
            </w:r>
          </w:p>
        </w:tc>
        <w:tc>
          <w:tcPr>
            <w:tcW w:w="1903" w:type="pct"/>
            <w:shd w:val="clear" w:color="auto" w:fill="auto"/>
            <w:noWrap/>
            <w:vAlign w:val="bottom"/>
            <w:hideMark/>
          </w:tcPr>
          <w:p w14:paraId="40B891A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Turkey</w:t>
            </w:r>
          </w:p>
        </w:tc>
      </w:tr>
      <w:tr w:rsidR="00997EC9" w:rsidRPr="00997EC9" w14:paraId="53A6FA15" w14:textId="77777777" w:rsidTr="00997EC9">
        <w:trPr>
          <w:trHeight w:val="315"/>
        </w:trPr>
        <w:tc>
          <w:tcPr>
            <w:tcW w:w="1572" w:type="pct"/>
            <w:shd w:val="clear" w:color="auto" w:fill="auto"/>
            <w:noWrap/>
            <w:vAlign w:val="bottom"/>
            <w:hideMark/>
          </w:tcPr>
          <w:p w14:paraId="4B0AD353"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Egypt, Arab Rep.</w:t>
            </w:r>
          </w:p>
        </w:tc>
        <w:tc>
          <w:tcPr>
            <w:tcW w:w="1525" w:type="pct"/>
            <w:shd w:val="clear" w:color="auto" w:fill="auto"/>
            <w:noWrap/>
            <w:vAlign w:val="bottom"/>
            <w:hideMark/>
          </w:tcPr>
          <w:p w14:paraId="7959F290"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Mexico</w:t>
            </w:r>
          </w:p>
        </w:tc>
        <w:tc>
          <w:tcPr>
            <w:tcW w:w="1903" w:type="pct"/>
            <w:shd w:val="clear" w:color="auto" w:fill="auto"/>
            <w:noWrap/>
            <w:vAlign w:val="bottom"/>
            <w:hideMark/>
          </w:tcPr>
          <w:p w14:paraId="0ABB6F3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Uganda</w:t>
            </w:r>
          </w:p>
        </w:tc>
      </w:tr>
      <w:tr w:rsidR="00997EC9" w:rsidRPr="00997EC9" w14:paraId="54B48BA9" w14:textId="77777777" w:rsidTr="00997EC9">
        <w:trPr>
          <w:trHeight w:val="315"/>
        </w:trPr>
        <w:tc>
          <w:tcPr>
            <w:tcW w:w="1572" w:type="pct"/>
            <w:shd w:val="clear" w:color="auto" w:fill="auto"/>
            <w:noWrap/>
            <w:vAlign w:val="bottom"/>
            <w:hideMark/>
          </w:tcPr>
          <w:p w14:paraId="47D4D4B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El Salvador</w:t>
            </w:r>
          </w:p>
        </w:tc>
        <w:tc>
          <w:tcPr>
            <w:tcW w:w="1525" w:type="pct"/>
            <w:shd w:val="clear" w:color="auto" w:fill="auto"/>
            <w:noWrap/>
            <w:vAlign w:val="bottom"/>
            <w:hideMark/>
          </w:tcPr>
          <w:p w14:paraId="4AF054B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Moldova</w:t>
            </w:r>
          </w:p>
        </w:tc>
        <w:tc>
          <w:tcPr>
            <w:tcW w:w="1903" w:type="pct"/>
            <w:shd w:val="clear" w:color="auto" w:fill="auto"/>
            <w:noWrap/>
            <w:vAlign w:val="bottom"/>
            <w:hideMark/>
          </w:tcPr>
          <w:p w14:paraId="00EE6565"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Ukraine</w:t>
            </w:r>
          </w:p>
        </w:tc>
      </w:tr>
      <w:tr w:rsidR="00997EC9" w:rsidRPr="00997EC9" w14:paraId="62C0B936" w14:textId="77777777" w:rsidTr="00997EC9">
        <w:trPr>
          <w:trHeight w:val="315"/>
        </w:trPr>
        <w:tc>
          <w:tcPr>
            <w:tcW w:w="1572" w:type="pct"/>
            <w:shd w:val="clear" w:color="auto" w:fill="auto"/>
            <w:noWrap/>
            <w:vAlign w:val="bottom"/>
            <w:hideMark/>
          </w:tcPr>
          <w:p w14:paraId="2D5EC689"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Eritrea</w:t>
            </w:r>
          </w:p>
        </w:tc>
        <w:tc>
          <w:tcPr>
            <w:tcW w:w="1525" w:type="pct"/>
            <w:shd w:val="clear" w:color="auto" w:fill="auto"/>
            <w:noWrap/>
            <w:vAlign w:val="bottom"/>
            <w:hideMark/>
          </w:tcPr>
          <w:p w14:paraId="27F3498B"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Mongolia</w:t>
            </w:r>
          </w:p>
        </w:tc>
        <w:tc>
          <w:tcPr>
            <w:tcW w:w="1903" w:type="pct"/>
            <w:shd w:val="clear" w:color="auto" w:fill="auto"/>
            <w:noWrap/>
            <w:vAlign w:val="bottom"/>
            <w:hideMark/>
          </w:tcPr>
          <w:p w14:paraId="3B590FD2"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United Arab Emirates</w:t>
            </w:r>
          </w:p>
        </w:tc>
      </w:tr>
      <w:tr w:rsidR="00997EC9" w:rsidRPr="00997EC9" w14:paraId="7DBFC20A" w14:textId="77777777" w:rsidTr="00997EC9">
        <w:trPr>
          <w:trHeight w:val="315"/>
        </w:trPr>
        <w:tc>
          <w:tcPr>
            <w:tcW w:w="1572" w:type="pct"/>
            <w:shd w:val="clear" w:color="auto" w:fill="auto"/>
            <w:noWrap/>
            <w:vAlign w:val="bottom"/>
            <w:hideMark/>
          </w:tcPr>
          <w:p w14:paraId="168E493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lastRenderedPageBreak/>
              <w:t>Estonia</w:t>
            </w:r>
          </w:p>
        </w:tc>
        <w:tc>
          <w:tcPr>
            <w:tcW w:w="1525" w:type="pct"/>
            <w:shd w:val="clear" w:color="auto" w:fill="auto"/>
            <w:noWrap/>
            <w:vAlign w:val="bottom"/>
            <w:hideMark/>
          </w:tcPr>
          <w:p w14:paraId="6B9BEC2B"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Morocco</w:t>
            </w:r>
          </w:p>
        </w:tc>
        <w:tc>
          <w:tcPr>
            <w:tcW w:w="1903" w:type="pct"/>
            <w:shd w:val="clear" w:color="auto" w:fill="auto"/>
            <w:noWrap/>
            <w:vAlign w:val="bottom"/>
            <w:hideMark/>
          </w:tcPr>
          <w:p w14:paraId="57C00D01"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United Kingdom</w:t>
            </w:r>
          </w:p>
        </w:tc>
      </w:tr>
      <w:tr w:rsidR="00997EC9" w:rsidRPr="00997EC9" w14:paraId="1C01B3B2" w14:textId="77777777" w:rsidTr="00997EC9">
        <w:trPr>
          <w:trHeight w:val="315"/>
        </w:trPr>
        <w:tc>
          <w:tcPr>
            <w:tcW w:w="1572" w:type="pct"/>
            <w:shd w:val="clear" w:color="auto" w:fill="auto"/>
            <w:noWrap/>
            <w:vAlign w:val="bottom"/>
            <w:hideMark/>
          </w:tcPr>
          <w:p w14:paraId="4084024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Ethiopia</w:t>
            </w:r>
          </w:p>
        </w:tc>
        <w:tc>
          <w:tcPr>
            <w:tcW w:w="1525" w:type="pct"/>
            <w:shd w:val="clear" w:color="auto" w:fill="auto"/>
            <w:noWrap/>
            <w:vAlign w:val="bottom"/>
            <w:hideMark/>
          </w:tcPr>
          <w:p w14:paraId="235929C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Mozambique</w:t>
            </w:r>
          </w:p>
        </w:tc>
        <w:tc>
          <w:tcPr>
            <w:tcW w:w="1903" w:type="pct"/>
            <w:shd w:val="clear" w:color="auto" w:fill="auto"/>
            <w:noWrap/>
            <w:vAlign w:val="bottom"/>
            <w:hideMark/>
          </w:tcPr>
          <w:p w14:paraId="2EA5718B"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United States</w:t>
            </w:r>
          </w:p>
        </w:tc>
      </w:tr>
      <w:tr w:rsidR="00997EC9" w:rsidRPr="00997EC9" w14:paraId="31C80A46" w14:textId="77777777" w:rsidTr="00997EC9">
        <w:trPr>
          <w:trHeight w:val="315"/>
        </w:trPr>
        <w:tc>
          <w:tcPr>
            <w:tcW w:w="1572" w:type="pct"/>
            <w:shd w:val="clear" w:color="auto" w:fill="auto"/>
            <w:noWrap/>
            <w:vAlign w:val="bottom"/>
            <w:hideMark/>
          </w:tcPr>
          <w:p w14:paraId="0857711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Fiji</w:t>
            </w:r>
          </w:p>
        </w:tc>
        <w:tc>
          <w:tcPr>
            <w:tcW w:w="1525" w:type="pct"/>
            <w:shd w:val="clear" w:color="auto" w:fill="auto"/>
            <w:noWrap/>
            <w:vAlign w:val="bottom"/>
            <w:hideMark/>
          </w:tcPr>
          <w:p w14:paraId="1D9AF08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Namibia</w:t>
            </w:r>
          </w:p>
        </w:tc>
        <w:tc>
          <w:tcPr>
            <w:tcW w:w="1903" w:type="pct"/>
            <w:shd w:val="clear" w:color="auto" w:fill="auto"/>
            <w:noWrap/>
            <w:vAlign w:val="bottom"/>
            <w:hideMark/>
          </w:tcPr>
          <w:p w14:paraId="5C0B1F99"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Uruguay</w:t>
            </w:r>
          </w:p>
        </w:tc>
      </w:tr>
      <w:tr w:rsidR="00997EC9" w:rsidRPr="00997EC9" w14:paraId="57149621" w14:textId="77777777" w:rsidTr="00997EC9">
        <w:trPr>
          <w:trHeight w:val="315"/>
        </w:trPr>
        <w:tc>
          <w:tcPr>
            <w:tcW w:w="1572" w:type="pct"/>
            <w:shd w:val="clear" w:color="auto" w:fill="auto"/>
            <w:noWrap/>
            <w:vAlign w:val="bottom"/>
            <w:hideMark/>
          </w:tcPr>
          <w:p w14:paraId="623EE32A"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Finland</w:t>
            </w:r>
          </w:p>
        </w:tc>
        <w:tc>
          <w:tcPr>
            <w:tcW w:w="1525" w:type="pct"/>
            <w:shd w:val="clear" w:color="auto" w:fill="auto"/>
            <w:noWrap/>
            <w:vAlign w:val="bottom"/>
            <w:hideMark/>
          </w:tcPr>
          <w:p w14:paraId="219DA3E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Nepal</w:t>
            </w:r>
          </w:p>
        </w:tc>
        <w:tc>
          <w:tcPr>
            <w:tcW w:w="1903" w:type="pct"/>
            <w:shd w:val="clear" w:color="auto" w:fill="auto"/>
            <w:noWrap/>
            <w:vAlign w:val="bottom"/>
            <w:hideMark/>
          </w:tcPr>
          <w:p w14:paraId="37A52F4E"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Vanuatu</w:t>
            </w:r>
          </w:p>
        </w:tc>
      </w:tr>
      <w:tr w:rsidR="00997EC9" w:rsidRPr="00997EC9" w14:paraId="0876A6C1" w14:textId="77777777" w:rsidTr="00997EC9">
        <w:trPr>
          <w:trHeight w:val="315"/>
        </w:trPr>
        <w:tc>
          <w:tcPr>
            <w:tcW w:w="1572" w:type="pct"/>
            <w:shd w:val="clear" w:color="auto" w:fill="auto"/>
            <w:noWrap/>
            <w:vAlign w:val="bottom"/>
            <w:hideMark/>
          </w:tcPr>
          <w:p w14:paraId="4BD0652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France</w:t>
            </w:r>
          </w:p>
        </w:tc>
        <w:tc>
          <w:tcPr>
            <w:tcW w:w="1525" w:type="pct"/>
            <w:shd w:val="clear" w:color="auto" w:fill="auto"/>
            <w:noWrap/>
            <w:vAlign w:val="bottom"/>
            <w:hideMark/>
          </w:tcPr>
          <w:p w14:paraId="14C64C7D"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Netherlands</w:t>
            </w:r>
          </w:p>
        </w:tc>
        <w:tc>
          <w:tcPr>
            <w:tcW w:w="1903" w:type="pct"/>
            <w:shd w:val="clear" w:color="auto" w:fill="auto"/>
            <w:noWrap/>
            <w:vAlign w:val="bottom"/>
            <w:hideMark/>
          </w:tcPr>
          <w:p w14:paraId="1671026C"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Venezuela, RB</w:t>
            </w:r>
          </w:p>
        </w:tc>
      </w:tr>
      <w:tr w:rsidR="00997EC9" w:rsidRPr="00997EC9" w14:paraId="3C2834BB" w14:textId="77777777" w:rsidTr="00997EC9">
        <w:trPr>
          <w:trHeight w:val="315"/>
        </w:trPr>
        <w:tc>
          <w:tcPr>
            <w:tcW w:w="1572" w:type="pct"/>
            <w:shd w:val="clear" w:color="auto" w:fill="auto"/>
            <w:noWrap/>
            <w:vAlign w:val="bottom"/>
            <w:hideMark/>
          </w:tcPr>
          <w:p w14:paraId="4AE7F276"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Gabon</w:t>
            </w:r>
          </w:p>
        </w:tc>
        <w:tc>
          <w:tcPr>
            <w:tcW w:w="1525" w:type="pct"/>
            <w:shd w:val="clear" w:color="auto" w:fill="auto"/>
            <w:noWrap/>
            <w:vAlign w:val="bottom"/>
            <w:hideMark/>
          </w:tcPr>
          <w:p w14:paraId="3F4D631F"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New Zealand</w:t>
            </w:r>
          </w:p>
        </w:tc>
        <w:tc>
          <w:tcPr>
            <w:tcW w:w="1903" w:type="pct"/>
            <w:shd w:val="clear" w:color="auto" w:fill="auto"/>
            <w:noWrap/>
            <w:vAlign w:val="bottom"/>
            <w:hideMark/>
          </w:tcPr>
          <w:p w14:paraId="16E07654" w14:textId="77777777" w:rsidR="00997EC9" w:rsidRPr="00997EC9" w:rsidRDefault="00997EC9" w:rsidP="00AC1B37">
            <w:pPr>
              <w:spacing w:after="0" w:line="240" w:lineRule="auto"/>
              <w:rPr>
                <w:rFonts w:ascii="Times New Roman" w:eastAsia="Times New Roman" w:hAnsi="Times New Roman" w:cs="Times New Roman"/>
                <w:color w:val="000000"/>
                <w:sz w:val="20"/>
                <w:szCs w:val="20"/>
              </w:rPr>
            </w:pPr>
            <w:r w:rsidRPr="00997EC9">
              <w:rPr>
                <w:rFonts w:ascii="Times New Roman" w:eastAsia="Times New Roman" w:hAnsi="Times New Roman" w:cs="Times New Roman"/>
                <w:color w:val="000000"/>
                <w:sz w:val="20"/>
                <w:szCs w:val="20"/>
              </w:rPr>
              <w:t>Zambia</w:t>
            </w:r>
          </w:p>
        </w:tc>
      </w:tr>
    </w:tbl>
    <w:p w14:paraId="190FB3FF"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0A78E9D9"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5BD719CB"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66057B1B"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7B509D09"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5EA5677E"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0A80251E"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711CA94A"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73978154"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164960B0"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180F0C71"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145D0FFD"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513B1495"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62917065"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0091AB7C"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6F6C70E3" w14:textId="77777777" w:rsidR="00997EC9" w:rsidRDefault="00997EC9" w:rsidP="00AC1B37">
      <w:pPr>
        <w:spacing w:after="120" w:line="480" w:lineRule="auto"/>
        <w:jc w:val="both"/>
        <w:rPr>
          <w:rFonts w:ascii="Times New Roman" w:eastAsia="Times New Roman" w:hAnsi="Times New Roman" w:cs="Times New Roman"/>
          <w:sz w:val="24"/>
          <w:szCs w:val="24"/>
        </w:rPr>
      </w:pPr>
    </w:p>
    <w:p w14:paraId="0080AB0B" w14:textId="65D88D5F" w:rsidR="00276A43" w:rsidRPr="00826DC4" w:rsidRDefault="00276A43" w:rsidP="00BA52DE">
      <w:pPr>
        <w:spacing w:after="0" w:line="360" w:lineRule="auto"/>
        <w:ind w:left="-576"/>
        <w:jc w:val="both"/>
        <w:rPr>
          <w:rFonts w:ascii="Times New Roman" w:eastAsia="Times New Roman" w:hAnsi="Times New Roman" w:cs="Times New Roman"/>
          <w:b/>
          <w:sz w:val="20"/>
          <w:szCs w:val="20"/>
        </w:rPr>
      </w:pPr>
      <w:r w:rsidRPr="00826DC4">
        <w:rPr>
          <w:rFonts w:ascii="Times New Roman" w:eastAsia="Times New Roman" w:hAnsi="Times New Roman" w:cs="Times New Roman"/>
          <w:b/>
          <w:sz w:val="20"/>
          <w:szCs w:val="20"/>
        </w:rPr>
        <w:lastRenderedPageBreak/>
        <w:t xml:space="preserve">References </w:t>
      </w:r>
    </w:p>
    <w:p w14:paraId="4EC0D26A" w14:textId="4273C3E1" w:rsidR="00965E58" w:rsidRPr="00826DC4" w:rsidRDefault="00965E58" w:rsidP="00826DC4">
      <w:pPr>
        <w:spacing w:after="0" w:line="240" w:lineRule="auto"/>
        <w:ind w:firstLine="720"/>
        <w:contextualSpacing/>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Acemoglu, D</w:t>
      </w:r>
      <w:r w:rsidR="003D7540" w:rsidRPr="00826DC4">
        <w:rPr>
          <w:rFonts w:ascii="Times New Roman" w:eastAsia="Calibri" w:hAnsi="Times New Roman" w:cs="Times New Roman"/>
          <w:sz w:val="20"/>
          <w:szCs w:val="20"/>
        </w:rPr>
        <w:t>aron</w:t>
      </w:r>
      <w:r w:rsidR="00381CA9"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2008</w:t>
      </w:r>
      <w:r w:rsidR="00381CA9"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iCs/>
          <w:sz w:val="20"/>
          <w:szCs w:val="20"/>
        </w:rPr>
        <w:t xml:space="preserve">Introduction to </w:t>
      </w:r>
      <w:r w:rsidR="00381CA9" w:rsidRPr="00826DC4">
        <w:rPr>
          <w:rFonts w:ascii="Times New Roman" w:eastAsia="Calibri" w:hAnsi="Times New Roman" w:cs="Times New Roman"/>
          <w:i/>
          <w:iCs/>
          <w:sz w:val="20"/>
          <w:szCs w:val="20"/>
        </w:rPr>
        <w:t>M</w:t>
      </w:r>
      <w:r w:rsidRPr="00826DC4">
        <w:rPr>
          <w:rFonts w:ascii="Times New Roman" w:eastAsia="Calibri" w:hAnsi="Times New Roman" w:cs="Times New Roman"/>
          <w:i/>
          <w:iCs/>
          <w:sz w:val="20"/>
          <w:szCs w:val="20"/>
        </w:rPr>
        <w:t xml:space="preserve">odern </w:t>
      </w:r>
      <w:r w:rsidR="00381CA9" w:rsidRPr="00826DC4">
        <w:rPr>
          <w:rFonts w:ascii="Times New Roman" w:eastAsia="Calibri" w:hAnsi="Times New Roman" w:cs="Times New Roman"/>
          <w:i/>
          <w:iCs/>
          <w:sz w:val="20"/>
          <w:szCs w:val="20"/>
        </w:rPr>
        <w:t>E</w:t>
      </w:r>
      <w:r w:rsidRPr="00826DC4">
        <w:rPr>
          <w:rFonts w:ascii="Times New Roman" w:eastAsia="Calibri" w:hAnsi="Times New Roman" w:cs="Times New Roman"/>
          <w:i/>
          <w:iCs/>
          <w:sz w:val="20"/>
          <w:szCs w:val="20"/>
        </w:rPr>
        <w:t xml:space="preserve">conomic </w:t>
      </w:r>
      <w:r w:rsidR="00381CA9" w:rsidRPr="00826DC4">
        <w:rPr>
          <w:rFonts w:ascii="Times New Roman" w:eastAsia="Calibri" w:hAnsi="Times New Roman" w:cs="Times New Roman"/>
          <w:i/>
          <w:iCs/>
          <w:sz w:val="20"/>
          <w:szCs w:val="20"/>
        </w:rPr>
        <w:t>G</w:t>
      </w:r>
      <w:r w:rsidRPr="00826DC4">
        <w:rPr>
          <w:rFonts w:ascii="Times New Roman" w:eastAsia="Calibri" w:hAnsi="Times New Roman" w:cs="Times New Roman"/>
          <w:i/>
          <w:iCs/>
          <w:sz w:val="20"/>
          <w:szCs w:val="20"/>
        </w:rPr>
        <w:t>rowth</w:t>
      </w:r>
      <w:r w:rsidR="00381CA9" w:rsidRPr="00826DC4">
        <w:rPr>
          <w:rFonts w:ascii="Times New Roman" w:eastAsia="Calibri" w:hAnsi="Times New Roman" w:cs="Times New Roman"/>
          <w:i/>
          <w:iCs/>
          <w:sz w:val="20"/>
          <w:szCs w:val="20"/>
        </w:rPr>
        <w:t xml:space="preserve"> (</w:t>
      </w:r>
      <w:r w:rsidRPr="00826DC4">
        <w:rPr>
          <w:rFonts w:ascii="Times New Roman" w:eastAsia="Calibri" w:hAnsi="Times New Roman" w:cs="Times New Roman"/>
          <w:sz w:val="20"/>
          <w:szCs w:val="20"/>
        </w:rPr>
        <w:t>Princeton University Press</w:t>
      </w:r>
      <w:r w:rsidR="00381CA9"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w:t>
      </w:r>
    </w:p>
    <w:p w14:paraId="632E6B5C" w14:textId="3253573A" w:rsidR="00276A43" w:rsidRPr="00826DC4" w:rsidRDefault="00276A43" w:rsidP="00826DC4">
      <w:pPr>
        <w:spacing w:after="0" w:line="240" w:lineRule="auto"/>
        <w:ind w:firstLine="720"/>
        <w:contextualSpacing/>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Acemoglu, D</w:t>
      </w:r>
      <w:r w:rsidR="00AF1445" w:rsidRPr="00826DC4">
        <w:rPr>
          <w:rFonts w:ascii="Times New Roman" w:eastAsia="Calibri" w:hAnsi="Times New Roman" w:cs="Times New Roman"/>
          <w:sz w:val="20"/>
          <w:szCs w:val="20"/>
        </w:rPr>
        <w:t>aron</w:t>
      </w:r>
      <w:r w:rsidR="00381CA9"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and </w:t>
      </w:r>
      <w:r w:rsidR="00AF1445" w:rsidRPr="00826DC4">
        <w:rPr>
          <w:rFonts w:ascii="Times New Roman" w:eastAsia="Calibri" w:hAnsi="Times New Roman" w:cs="Times New Roman"/>
          <w:sz w:val="20"/>
          <w:szCs w:val="20"/>
        </w:rPr>
        <w:t xml:space="preserve">James A. </w:t>
      </w:r>
      <w:r w:rsidRPr="00826DC4">
        <w:rPr>
          <w:rFonts w:ascii="Times New Roman" w:eastAsia="Calibri" w:hAnsi="Times New Roman" w:cs="Times New Roman"/>
          <w:sz w:val="20"/>
          <w:szCs w:val="20"/>
        </w:rPr>
        <w:t>Robinson</w:t>
      </w:r>
      <w:r w:rsidR="00381CA9"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2000</w:t>
      </w:r>
      <w:r w:rsidR="00381CA9"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Political Losers as a Barrier to Economic Development</w:t>
      </w:r>
      <w:r w:rsidR="00AF1445"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American Economic Review, Papers and Proceedings</w:t>
      </w:r>
      <w:r w:rsidR="00AF1445"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90</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126-130. </w:t>
      </w:r>
    </w:p>
    <w:p w14:paraId="61672179" w14:textId="1B0DAD61" w:rsidR="00276A43" w:rsidRPr="00826DC4" w:rsidRDefault="00276A43" w:rsidP="00826DC4">
      <w:pPr>
        <w:spacing w:after="0" w:line="240" w:lineRule="auto"/>
        <w:ind w:firstLine="720"/>
        <w:contextualSpacing/>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Acemoglu, D</w:t>
      </w:r>
      <w:r w:rsidR="00AF1445" w:rsidRPr="00826DC4">
        <w:rPr>
          <w:rFonts w:ascii="Times New Roman" w:eastAsia="Calibri" w:hAnsi="Times New Roman" w:cs="Times New Roman"/>
          <w:sz w:val="20"/>
          <w:szCs w:val="20"/>
        </w:rPr>
        <w:t>aron</w:t>
      </w:r>
      <w:r w:rsidRPr="00826DC4">
        <w:rPr>
          <w:rFonts w:ascii="Times New Roman" w:eastAsia="Calibri" w:hAnsi="Times New Roman" w:cs="Times New Roman"/>
          <w:sz w:val="20"/>
          <w:szCs w:val="20"/>
        </w:rPr>
        <w:t xml:space="preserve"> and </w:t>
      </w:r>
      <w:r w:rsidR="00AF1445" w:rsidRPr="00826DC4">
        <w:rPr>
          <w:rFonts w:ascii="Times New Roman" w:eastAsia="Calibri" w:hAnsi="Times New Roman" w:cs="Times New Roman"/>
          <w:sz w:val="20"/>
          <w:szCs w:val="20"/>
        </w:rPr>
        <w:t xml:space="preserve">James A. </w:t>
      </w:r>
      <w:r w:rsidRPr="00826DC4">
        <w:rPr>
          <w:rFonts w:ascii="Times New Roman" w:eastAsia="Calibri" w:hAnsi="Times New Roman" w:cs="Times New Roman"/>
          <w:sz w:val="20"/>
          <w:szCs w:val="20"/>
        </w:rPr>
        <w:t>Robinson</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2006</w:t>
      </w:r>
      <w:r w:rsidR="00965E58" w:rsidRPr="00826DC4">
        <w:rPr>
          <w:rFonts w:ascii="Times New Roman" w:eastAsia="Calibri" w:hAnsi="Times New Roman" w:cs="Times New Roman"/>
          <w:sz w:val="20"/>
          <w:szCs w:val="20"/>
        </w:rPr>
        <w:t>a</w:t>
      </w:r>
      <w:r w:rsidR="00A22E3E"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i/>
          <w:sz w:val="20"/>
          <w:szCs w:val="20"/>
        </w:rPr>
        <w:t>Economic Origins of Dictatorship and Democracy</w:t>
      </w:r>
      <w:r w:rsidR="00A22E3E"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Cambridge University Press</w:t>
      </w:r>
      <w:r w:rsidR="00A22E3E"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w:t>
      </w:r>
    </w:p>
    <w:p w14:paraId="4F7F682E" w14:textId="60521FA9" w:rsidR="00276A43" w:rsidRPr="00826DC4" w:rsidRDefault="00276A43" w:rsidP="00826DC4">
      <w:pPr>
        <w:spacing w:after="0" w:line="240" w:lineRule="auto"/>
        <w:ind w:firstLine="720"/>
        <w:contextualSpacing/>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Acemoglu, D</w:t>
      </w:r>
      <w:r w:rsidR="00AF1445" w:rsidRPr="00826DC4">
        <w:rPr>
          <w:rFonts w:ascii="Times New Roman" w:eastAsia="Calibri" w:hAnsi="Times New Roman" w:cs="Times New Roman"/>
          <w:sz w:val="20"/>
          <w:szCs w:val="20"/>
        </w:rPr>
        <w:t>aron</w:t>
      </w:r>
      <w:r w:rsidRPr="00826DC4">
        <w:rPr>
          <w:rFonts w:ascii="Times New Roman" w:eastAsia="Calibri" w:hAnsi="Times New Roman" w:cs="Times New Roman"/>
          <w:sz w:val="20"/>
          <w:szCs w:val="20"/>
        </w:rPr>
        <w:t xml:space="preserve"> and </w:t>
      </w:r>
      <w:r w:rsidR="00AF1445" w:rsidRPr="00826DC4">
        <w:rPr>
          <w:rFonts w:ascii="Times New Roman" w:eastAsia="Calibri" w:hAnsi="Times New Roman" w:cs="Times New Roman"/>
          <w:sz w:val="20"/>
          <w:szCs w:val="20"/>
        </w:rPr>
        <w:t xml:space="preserve">James A. </w:t>
      </w:r>
      <w:r w:rsidRPr="00826DC4">
        <w:rPr>
          <w:rFonts w:ascii="Times New Roman" w:eastAsia="Calibri" w:hAnsi="Times New Roman" w:cs="Times New Roman"/>
          <w:sz w:val="20"/>
          <w:szCs w:val="20"/>
        </w:rPr>
        <w:t>Robinson</w:t>
      </w:r>
      <w:r w:rsidR="00A22E3E" w:rsidRPr="00826DC4">
        <w:rPr>
          <w:rFonts w:ascii="Times New Roman" w:eastAsia="Calibri" w:hAnsi="Times New Roman" w:cs="Times New Roman"/>
          <w:sz w:val="20"/>
          <w:szCs w:val="20"/>
        </w:rPr>
        <w:t>,</w:t>
      </w:r>
      <w:r w:rsidR="00AF1445"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2006</w:t>
      </w:r>
      <w:r w:rsidR="00965E58" w:rsidRPr="00826DC4">
        <w:rPr>
          <w:rFonts w:ascii="Times New Roman" w:eastAsia="Calibri" w:hAnsi="Times New Roman" w:cs="Times New Roman"/>
          <w:sz w:val="20"/>
          <w:szCs w:val="20"/>
        </w:rPr>
        <w:t>b</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Economic Backwardness in Political Perspective</w:t>
      </w:r>
      <w:r w:rsidR="00AF1445"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American Political Science Review</w:t>
      </w:r>
      <w:r w:rsidR="00A22E3E"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100</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1</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115-131. </w:t>
      </w:r>
    </w:p>
    <w:p w14:paraId="74E161AE" w14:textId="7884A09E"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b/>
          <w:sz w:val="20"/>
          <w:szCs w:val="20"/>
        </w:rPr>
      </w:pPr>
      <w:proofErr w:type="spellStart"/>
      <w:r w:rsidRPr="00826DC4">
        <w:rPr>
          <w:rFonts w:ascii="Times New Roman" w:eastAsia="Calibri" w:hAnsi="Times New Roman" w:cs="Times New Roman"/>
          <w:sz w:val="20"/>
          <w:szCs w:val="20"/>
        </w:rPr>
        <w:t>Aslaksen</w:t>
      </w:r>
      <w:proofErr w:type="spellEnd"/>
      <w:r w:rsidRPr="00826DC4">
        <w:rPr>
          <w:rFonts w:ascii="Times New Roman" w:eastAsia="Calibri" w:hAnsi="Times New Roman" w:cs="Times New Roman"/>
          <w:sz w:val="20"/>
          <w:szCs w:val="20"/>
        </w:rPr>
        <w:t xml:space="preserve">, </w:t>
      </w:r>
      <w:proofErr w:type="spellStart"/>
      <w:r w:rsidRPr="00826DC4">
        <w:rPr>
          <w:rFonts w:ascii="Times New Roman" w:eastAsia="Calibri" w:hAnsi="Times New Roman" w:cs="Times New Roman"/>
          <w:sz w:val="20"/>
          <w:szCs w:val="20"/>
        </w:rPr>
        <w:t>S</w:t>
      </w:r>
      <w:r w:rsidR="00AF1445" w:rsidRPr="00826DC4">
        <w:rPr>
          <w:rFonts w:ascii="Times New Roman" w:eastAsia="Calibri" w:hAnsi="Times New Roman" w:cs="Times New Roman"/>
          <w:sz w:val="20"/>
          <w:szCs w:val="20"/>
        </w:rPr>
        <w:t>ilje</w:t>
      </w:r>
      <w:proofErr w:type="spellEnd"/>
      <w:r w:rsidR="00A22E3E" w:rsidRPr="00826DC4">
        <w:rPr>
          <w:rFonts w:ascii="Times New Roman" w:eastAsia="Calibri" w:hAnsi="Times New Roman" w:cs="Times New Roman"/>
          <w:sz w:val="20"/>
          <w:szCs w:val="20"/>
        </w:rPr>
        <w:t>,</w:t>
      </w:r>
      <w:r w:rsidR="00AF1445"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2007</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Corruption and Oil: Evidence from Panel Data</w:t>
      </w:r>
      <w:r w:rsidR="00AF1445"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Unpublished Manuscrip</w:t>
      </w:r>
      <w:r w:rsidR="00A22E3E" w:rsidRPr="00826DC4">
        <w:rPr>
          <w:rFonts w:ascii="Times New Roman" w:eastAsia="Calibri" w:hAnsi="Times New Roman" w:cs="Times New Roman"/>
          <w:i/>
          <w:sz w:val="20"/>
          <w:szCs w:val="20"/>
        </w:rPr>
        <w:t xml:space="preserve">t </w:t>
      </w:r>
      <w:r w:rsidR="00A22E3E"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University of Oslo</w:t>
      </w:r>
      <w:r w:rsidR="00A22E3E"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w:t>
      </w:r>
    </w:p>
    <w:p w14:paraId="4DDDE264" w14:textId="41D7FD7E"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b/>
          <w:sz w:val="20"/>
          <w:szCs w:val="20"/>
        </w:rPr>
      </w:pPr>
      <w:r w:rsidRPr="00826DC4">
        <w:rPr>
          <w:rFonts w:ascii="Times New Roman" w:eastAsia="Calibri" w:hAnsi="Times New Roman" w:cs="Times New Roman"/>
          <w:sz w:val="20"/>
          <w:szCs w:val="20"/>
        </w:rPr>
        <w:t>Beck, T</w:t>
      </w:r>
      <w:r w:rsidR="00AF1445" w:rsidRPr="00826DC4">
        <w:rPr>
          <w:rFonts w:ascii="Times New Roman" w:eastAsia="Calibri" w:hAnsi="Times New Roman" w:cs="Times New Roman"/>
          <w:sz w:val="20"/>
          <w:szCs w:val="20"/>
        </w:rPr>
        <w:t>horsten</w:t>
      </w:r>
      <w:r w:rsidRPr="00826DC4">
        <w:rPr>
          <w:rFonts w:ascii="Times New Roman" w:eastAsia="Calibri" w:hAnsi="Times New Roman" w:cs="Times New Roman"/>
          <w:sz w:val="20"/>
          <w:szCs w:val="20"/>
        </w:rPr>
        <w:t xml:space="preserve">, </w:t>
      </w:r>
      <w:r w:rsidR="00AF1445" w:rsidRPr="00826DC4">
        <w:rPr>
          <w:rFonts w:ascii="Times New Roman" w:eastAsia="Calibri" w:hAnsi="Times New Roman" w:cs="Times New Roman"/>
          <w:sz w:val="20"/>
          <w:szCs w:val="20"/>
        </w:rPr>
        <w:t xml:space="preserve">Philip E. </w:t>
      </w:r>
      <w:r w:rsidRPr="00826DC4">
        <w:rPr>
          <w:rFonts w:ascii="Times New Roman" w:eastAsia="Calibri" w:hAnsi="Times New Roman" w:cs="Times New Roman"/>
          <w:sz w:val="20"/>
          <w:szCs w:val="20"/>
        </w:rPr>
        <w:t>Keefer</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and </w:t>
      </w:r>
      <w:r w:rsidR="00F65F31" w:rsidRPr="00826DC4">
        <w:rPr>
          <w:rFonts w:ascii="Times New Roman" w:eastAsia="Calibri" w:hAnsi="Times New Roman" w:cs="Times New Roman"/>
          <w:sz w:val="20"/>
          <w:szCs w:val="20"/>
        </w:rPr>
        <w:t xml:space="preserve">George R. </w:t>
      </w:r>
      <w:r w:rsidRPr="00826DC4">
        <w:rPr>
          <w:rFonts w:ascii="Times New Roman" w:eastAsia="Calibri" w:hAnsi="Times New Roman" w:cs="Times New Roman"/>
          <w:sz w:val="20"/>
          <w:szCs w:val="20"/>
        </w:rPr>
        <w:t>Clarke</w:t>
      </w:r>
      <w:r w:rsidR="00A22E3E" w:rsidRPr="00826DC4">
        <w:rPr>
          <w:rFonts w:ascii="Times New Roman" w:eastAsia="Calibri" w:hAnsi="Times New Roman" w:cs="Times New Roman"/>
          <w:sz w:val="20"/>
          <w:szCs w:val="20"/>
        </w:rPr>
        <w:t>,</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2009</w:t>
      </w:r>
      <w:r w:rsidR="00A22E3E"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Database of Political Institutions (DPI 2009) Codebook</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World Bank Economic Review</w:t>
      </w:r>
      <w:r w:rsidRPr="00826DC4">
        <w:rPr>
          <w:rFonts w:ascii="Times New Roman" w:eastAsia="Calibri" w:hAnsi="Times New Roman" w:cs="Times New Roman"/>
          <w:sz w:val="20"/>
          <w:szCs w:val="20"/>
        </w:rPr>
        <w:t xml:space="preserve">. </w:t>
      </w:r>
    </w:p>
    <w:p w14:paraId="2586247F" w14:textId="643D83FC"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sz w:val="20"/>
          <w:szCs w:val="20"/>
        </w:rPr>
      </w:pPr>
      <w:proofErr w:type="spellStart"/>
      <w:r w:rsidRPr="00826DC4">
        <w:rPr>
          <w:rFonts w:ascii="Times New Roman" w:eastAsia="Calibri" w:hAnsi="Times New Roman" w:cs="Times New Roman"/>
          <w:sz w:val="20"/>
          <w:szCs w:val="20"/>
        </w:rPr>
        <w:t>Boschini</w:t>
      </w:r>
      <w:proofErr w:type="spellEnd"/>
      <w:r w:rsidRPr="00826DC4">
        <w:rPr>
          <w:rFonts w:ascii="Times New Roman" w:eastAsia="Calibri" w:hAnsi="Times New Roman" w:cs="Times New Roman"/>
          <w:sz w:val="20"/>
          <w:szCs w:val="20"/>
        </w:rPr>
        <w:t>, A</w:t>
      </w:r>
      <w:r w:rsidR="00F65F31" w:rsidRPr="00826DC4">
        <w:rPr>
          <w:rFonts w:ascii="Times New Roman" w:eastAsia="Calibri" w:hAnsi="Times New Roman" w:cs="Times New Roman"/>
          <w:sz w:val="20"/>
          <w:szCs w:val="20"/>
        </w:rPr>
        <w:t>nne</w:t>
      </w:r>
      <w:r w:rsidRPr="00826DC4">
        <w:rPr>
          <w:rFonts w:ascii="Times New Roman" w:eastAsia="Calibri" w:hAnsi="Times New Roman" w:cs="Times New Roman"/>
          <w:sz w:val="20"/>
          <w:szCs w:val="20"/>
        </w:rPr>
        <w:t xml:space="preserve"> D., </w:t>
      </w:r>
      <w:r w:rsidR="00F65F31" w:rsidRPr="00826DC4">
        <w:rPr>
          <w:rFonts w:ascii="Times New Roman" w:eastAsia="Calibri" w:hAnsi="Times New Roman" w:cs="Times New Roman"/>
          <w:sz w:val="20"/>
          <w:szCs w:val="20"/>
        </w:rPr>
        <w:t xml:space="preserve">Jan </w:t>
      </w:r>
      <w:proofErr w:type="spellStart"/>
      <w:r w:rsidRPr="00826DC4">
        <w:rPr>
          <w:rFonts w:ascii="Times New Roman" w:eastAsia="Calibri" w:hAnsi="Times New Roman" w:cs="Times New Roman"/>
          <w:sz w:val="20"/>
          <w:szCs w:val="20"/>
        </w:rPr>
        <w:t>Pettersson</w:t>
      </w:r>
      <w:proofErr w:type="spellEnd"/>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and </w:t>
      </w:r>
      <w:proofErr w:type="spellStart"/>
      <w:r w:rsidR="00F65F31" w:rsidRPr="00826DC4">
        <w:rPr>
          <w:rFonts w:ascii="Times New Roman" w:eastAsia="Calibri" w:hAnsi="Times New Roman" w:cs="Times New Roman"/>
          <w:sz w:val="20"/>
          <w:szCs w:val="20"/>
        </w:rPr>
        <w:t>Jesper</w:t>
      </w:r>
      <w:proofErr w:type="spellEnd"/>
      <w:r w:rsidR="00F65F31" w:rsidRPr="00826DC4">
        <w:rPr>
          <w:rFonts w:ascii="Times New Roman" w:eastAsia="Calibri" w:hAnsi="Times New Roman" w:cs="Times New Roman"/>
          <w:sz w:val="20"/>
          <w:szCs w:val="20"/>
        </w:rPr>
        <w:t xml:space="preserve"> </w:t>
      </w:r>
      <w:proofErr w:type="spellStart"/>
      <w:r w:rsidRPr="00826DC4">
        <w:rPr>
          <w:rFonts w:ascii="Times New Roman" w:eastAsia="Calibri" w:hAnsi="Times New Roman" w:cs="Times New Roman"/>
          <w:sz w:val="20"/>
          <w:szCs w:val="20"/>
        </w:rPr>
        <w:t>Roine</w:t>
      </w:r>
      <w:proofErr w:type="spellEnd"/>
      <w:r w:rsidR="00A22E3E" w:rsidRPr="00826DC4">
        <w:rPr>
          <w:rFonts w:ascii="Times New Roman" w:eastAsia="Calibri" w:hAnsi="Times New Roman" w:cs="Times New Roman"/>
          <w:sz w:val="20"/>
          <w:szCs w:val="20"/>
        </w:rPr>
        <w:t>,</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2007</w:t>
      </w:r>
      <w:r w:rsidR="00A22E3E" w:rsidRPr="00826DC4">
        <w:rPr>
          <w:rFonts w:ascii="Times New Roman" w:eastAsia="Calibri" w:hAnsi="Times New Roman" w:cs="Times New Roman"/>
          <w:sz w:val="20"/>
          <w:szCs w:val="20"/>
        </w:rPr>
        <w:t>,</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Resource curse or not:</w:t>
      </w:r>
      <w:r w:rsidR="00826DC4"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a</w:t>
      </w:r>
      <w:r w:rsidR="00826DC4"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question of </w:t>
      </w:r>
      <w:proofErr w:type="spellStart"/>
      <w:r w:rsidRPr="00826DC4">
        <w:rPr>
          <w:rFonts w:ascii="Times New Roman" w:eastAsia="Calibri" w:hAnsi="Times New Roman" w:cs="Times New Roman"/>
          <w:sz w:val="20"/>
          <w:szCs w:val="20"/>
        </w:rPr>
        <w:t>appropriability</w:t>
      </w:r>
      <w:proofErr w:type="spellEnd"/>
      <w:r w:rsidR="00A22E3E" w:rsidRPr="00826DC4">
        <w:rPr>
          <w:rFonts w:ascii="Times New Roman" w:eastAsia="Calibri" w:hAnsi="Times New Roman" w:cs="Times New Roman"/>
          <w:sz w:val="20"/>
          <w:szCs w:val="20"/>
        </w:rPr>
        <w:t>,</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The Scandinavian Journal of Economics</w:t>
      </w:r>
      <w:r w:rsidR="00A22E3E"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109</w:t>
      </w:r>
      <w:r w:rsidR="00A22E3E"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3</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593-617.</w:t>
      </w:r>
      <w:r w:rsidR="005976F9" w:rsidRPr="00826DC4">
        <w:rPr>
          <w:rFonts w:ascii="Times New Roman" w:eastAsia="Calibri" w:hAnsi="Times New Roman" w:cs="Times New Roman"/>
          <w:sz w:val="20"/>
          <w:szCs w:val="20"/>
        </w:rPr>
        <w:t xml:space="preserve"> </w:t>
      </w:r>
    </w:p>
    <w:p w14:paraId="5191D416" w14:textId="75119647" w:rsidR="005976F9" w:rsidRPr="00826DC4" w:rsidRDefault="008322C1" w:rsidP="00826DC4">
      <w:pPr>
        <w:autoSpaceDE w:val="0"/>
        <w:autoSpaceDN w:val="0"/>
        <w:adjustRightInd w:val="0"/>
        <w:spacing w:after="0" w:line="240" w:lineRule="auto"/>
        <w:ind w:firstLine="720"/>
        <w:contextualSpacing/>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Bourguignon, F</w:t>
      </w:r>
      <w:r w:rsidR="00F65F31" w:rsidRPr="00826DC4">
        <w:rPr>
          <w:rFonts w:ascii="Times New Roman" w:eastAsia="Calibri" w:hAnsi="Times New Roman" w:cs="Times New Roman"/>
          <w:sz w:val="20"/>
          <w:szCs w:val="20"/>
        </w:rPr>
        <w:t>rancois</w:t>
      </w:r>
      <w:r w:rsidRPr="00826DC4">
        <w:rPr>
          <w:rFonts w:ascii="Times New Roman" w:eastAsia="Calibri" w:hAnsi="Times New Roman" w:cs="Times New Roman"/>
          <w:sz w:val="20"/>
          <w:szCs w:val="20"/>
        </w:rPr>
        <w:t xml:space="preserve">, and </w:t>
      </w:r>
      <w:r w:rsidR="00F65F31" w:rsidRPr="00826DC4">
        <w:rPr>
          <w:rFonts w:ascii="Times New Roman" w:eastAsia="Calibri" w:hAnsi="Times New Roman" w:cs="Times New Roman"/>
          <w:sz w:val="20"/>
          <w:szCs w:val="20"/>
        </w:rPr>
        <w:t xml:space="preserve">Thierry </w:t>
      </w:r>
      <w:proofErr w:type="spellStart"/>
      <w:r w:rsidRPr="00826DC4">
        <w:rPr>
          <w:rFonts w:ascii="Times New Roman" w:eastAsia="Calibri" w:hAnsi="Times New Roman" w:cs="Times New Roman"/>
          <w:sz w:val="20"/>
          <w:szCs w:val="20"/>
        </w:rPr>
        <w:t>Verdier</w:t>
      </w:r>
      <w:proofErr w:type="spellEnd"/>
      <w:r w:rsidR="00A22E3E" w:rsidRPr="00826DC4">
        <w:rPr>
          <w:rFonts w:ascii="Times New Roman" w:eastAsia="Calibri" w:hAnsi="Times New Roman" w:cs="Times New Roman"/>
          <w:sz w:val="20"/>
          <w:szCs w:val="20"/>
        </w:rPr>
        <w:t>,</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2000</w:t>
      </w:r>
      <w:r w:rsidR="00A22E3E"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Oligarchy, democracy, inequality and growth</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 xml:space="preserve">Journal of </w:t>
      </w:r>
      <w:r w:rsidR="00A22E3E" w:rsidRPr="00826DC4">
        <w:rPr>
          <w:rFonts w:ascii="Times New Roman" w:eastAsia="Calibri" w:hAnsi="Times New Roman" w:cs="Times New Roman"/>
          <w:i/>
          <w:sz w:val="20"/>
          <w:szCs w:val="20"/>
        </w:rPr>
        <w:t>D</w:t>
      </w:r>
      <w:r w:rsidRPr="00826DC4">
        <w:rPr>
          <w:rFonts w:ascii="Times New Roman" w:eastAsia="Calibri" w:hAnsi="Times New Roman" w:cs="Times New Roman"/>
          <w:i/>
          <w:sz w:val="20"/>
          <w:szCs w:val="20"/>
        </w:rPr>
        <w:t>evelopment Economics</w:t>
      </w:r>
      <w:r w:rsidR="00A22E3E"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62</w:t>
      </w:r>
      <w:r w:rsidR="00A22E3E" w:rsidRPr="00826DC4">
        <w:rPr>
          <w:rFonts w:ascii="Times New Roman" w:eastAsia="Calibri" w:hAnsi="Times New Roman" w:cs="Times New Roman"/>
          <w:sz w:val="20"/>
          <w:szCs w:val="20"/>
        </w:rPr>
        <w:t>,</w:t>
      </w:r>
      <w:r w:rsidR="009D4CB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285-313.</w:t>
      </w:r>
    </w:p>
    <w:p w14:paraId="07E8D97A" w14:textId="7E571E71"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b/>
          <w:sz w:val="20"/>
          <w:szCs w:val="20"/>
        </w:rPr>
      </w:pPr>
      <w:proofErr w:type="spellStart"/>
      <w:r w:rsidRPr="00826DC4">
        <w:rPr>
          <w:rFonts w:ascii="Times New Roman" w:eastAsia="Calibri" w:hAnsi="Times New Roman" w:cs="Times New Roman"/>
          <w:sz w:val="20"/>
          <w:szCs w:val="20"/>
        </w:rPr>
        <w:t>Brunnschweiler</w:t>
      </w:r>
      <w:proofErr w:type="spellEnd"/>
      <w:r w:rsidRPr="00826DC4">
        <w:rPr>
          <w:rFonts w:ascii="Times New Roman" w:eastAsia="Calibri" w:hAnsi="Times New Roman" w:cs="Times New Roman"/>
          <w:sz w:val="20"/>
          <w:szCs w:val="20"/>
        </w:rPr>
        <w:t>, C</w:t>
      </w:r>
      <w:r w:rsidR="00F65F31" w:rsidRPr="00826DC4">
        <w:rPr>
          <w:rFonts w:ascii="Times New Roman" w:eastAsia="Calibri" w:hAnsi="Times New Roman" w:cs="Times New Roman"/>
          <w:sz w:val="20"/>
          <w:szCs w:val="20"/>
        </w:rPr>
        <w:t>hrista</w:t>
      </w:r>
      <w:r w:rsidRPr="00826DC4">
        <w:rPr>
          <w:rFonts w:ascii="Times New Roman" w:eastAsia="Calibri" w:hAnsi="Times New Roman" w:cs="Times New Roman"/>
          <w:sz w:val="20"/>
          <w:szCs w:val="20"/>
        </w:rPr>
        <w:t xml:space="preserve"> N.</w:t>
      </w:r>
      <w:r w:rsidR="00A22E3E"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2008</w:t>
      </w:r>
      <w:r w:rsidR="00A22E3E"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Cursing the Blessings? Natural Resource Abundance, Institutions, and Economic Growth</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World Development</w:t>
      </w:r>
      <w:r w:rsidR="00A22E3E"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36</w:t>
      </w:r>
      <w:r w:rsidR="00A22E3E"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399-419.</w:t>
      </w:r>
    </w:p>
    <w:p w14:paraId="12CD1E42" w14:textId="31AB3F14"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b/>
          <w:sz w:val="20"/>
          <w:szCs w:val="20"/>
        </w:rPr>
      </w:pPr>
      <w:proofErr w:type="spellStart"/>
      <w:r w:rsidRPr="00826DC4">
        <w:rPr>
          <w:rFonts w:ascii="Times New Roman" w:eastAsia="Calibri" w:hAnsi="Times New Roman" w:cs="Times New Roman"/>
          <w:sz w:val="20"/>
          <w:szCs w:val="20"/>
        </w:rPr>
        <w:t>Bulte</w:t>
      </w:r>
      <w:proofErr w:type="spellEnd"/>
      <w:r w:rsidRPr="00826DC4">
        <w:rPr>
          <w:rFonts w:ascii="Times New Roman" w:eastAsia="Calibri" w:hAnsi="Times New Roman" w:cs="Times New Roman"/>
          <w:sz w:val="20"/>
          <w:szCs w:val="20"/>
        </w:rPr>
        <w:t>, E</w:t>
      </w:r>
      <w:r w:rsidR="00F65F31" w:rsidRPr="00826DC4">
        <w:rPr>
          <w:rFonts w:ascii="Times New Roman" w:eastAsia="Calibri" w:hAnsi="Times New Roman" w:cs="Times New Roman"/>
          <w:sz w:val="20"/>
          <w:szCs w:val="20"/>
        </w:rPr>
        <w:t>rwin</w:t>
      </w:r>
      <w:r w:rsidRPr="00826DC4">
        <w:rPr>
          <w:rFonts w:ascii="Times New Roman" w:eastAsia="Calibri" w:hAnsi="Times New Roman" w:cs="Times New Roman"/>
          <w:sz w:val="20"/>
          <w:szCs w:val="20"/>
        </w:rPr>
        <w:t xml:space="preserve"> H., </w:t>
      </w:r>
      <w:r w:rsidR="00F65F31" w:rsidRPr="00826DC4">
        <w:rPr>
          <w:rFonts w:ascii="Times New Roman" w:eastAsia="Calibri" w:hAnsi="Times New Roman" w:cs="Times New Roman"/>
          <w:sz w:val="20"/>
          <w:szCs w:val="20"/>
        </w:rPr>
        <w:t xml:space="preserve">Richard </w:t>
      </w:r>
      <w:proofErr w:type="spellStart"/>
      <w:r w:rsidRPr="00826DC4">
        <w:rPr>
          <w:rFonts w:ascii="Times New Roman" w:eastAsia="Calibri" w:hAnsi="Times New Roman" w:cs="Times New Roman"/>
          <w:sz w:val="20"/>
          <w:szCs w:val="20"/>
        </w:rPr>
        <w:t>Damania</w:t>
      </w:r>
      <w:proofErr w:type="spellEnd"/>
      <w:r w:rsidR="00F04242" w:rsidRPr="00826DC4">
        <w:rPr>
          <w:rFonts w:ascii="Times New Roman" w:eastAsia="Calibri" w:hAnsi="Times New Roman" w:cs="Times New Roman"/>
          <w:sz w:val="20"/>
          <w:szCs w:val="20"/>
        </w:rPr>
        <w:t>,</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and </w:t>
      </w:r>
      <w:r w:rsidR="00F65F31" w:rsidRPr="00826DC4">
        <w:rPr>
          <w:rFonts w:ascii="Times New Roman" w:eastAsia="Calibri" w:hAnsi="Times New Roman" w:cs="Times New Roman"/>
          <w:sz w:val="20"/>
          <w:szCs w:val="20"/>
        </w:rPr>
        <w:t xml:space="preserve">Robert T. </w:t>
      </w:r>
      <w:r w:rsidRPr="00826DC4">
        <w:rPr>
          <w:rFonts w:ascii="Times New Roman" w:eastAsia="Calibri" w:hAnsi="Times New Roman" w:cs="Times New Roman"/>
          <w:sz w:val="20"/>
          <w:szCs w:val="20"/>
        </w:rPr>
        <w:t>Deacon</w:t>
      </w:r>
      <w:r w:rsidR="00F04242" w:rsidRPr="00826DC4">
        <w:rPr>
          <w:rFonts w:ascii="Times New Roman" w:eastAsia="Calibri" w:hAnsi="Times New Roman" w:cs="Times New Roman"/>
          <w:sz w:val="20"/>
          <w:szCs w:val="20"/>
        </w:rPr>
        <w:t>,</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2005</w:t>
      </w:r>
      <w:r w:rsidR="00F04242" w:rsidRPr="00826DC4">
        <w:rPr>
          <w:rFonts w:ascii="Times New Roman" w:eastAsia="Calibri" w:hAnsi="Times New Roman" w:cs="Times New Roman"/>
          <w:sz w:val="20"/>
          <w:szCs w:val="20"/>
        </w:rPr>
        <w:t>,</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Resource Intensity, Institutions and Development</w:t>
      </w:r>
      <w:r w:rsidR="00F65F31"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World Development</w:t>
      </w:r>
      <w:r w:rsidR="00F04242"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33</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1029-1044. </w:t>
      </w:r>
    </w:p>
    <w:p w14:paraId="64E64F29" w14:textId="6717715A"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Busemeyer, M</w:t>
      </w:r>
      <w:r w:rsidR="00F65F31" w:rsidRPr="00826DC4">
        <w:rPr>
          <w:rFonts w:ascii="Times New Roman" w:eastAsia="Calibri" w:hAnsi="Times New Roman" w:cs="Times New Roman"/>
          <w:sz w:val="20"/>
          <w:szCs w:val="20"/>
        </w:rPr>
        <w:t>arius</w:t>
      </w:r>
      <w:r w:rsidRPr="00826DC4">
        <w:rPr>
          <w:rFonts w:ascii="Times New Roman" w:eastAsia="Calibri" w:hAnsi="Times New Roman" w:cs="Times New Roman"/>
          <w:sz w:val="20"/>
          <w:szCs w:val="20"/>
        </w:rPr>
        <w:t xml:space="preserve"> R.</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2007</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Determinants of public education spending in 21 OECD democracies, 1980-2001</w:t>
      </w:r>
      <w:r w:rsidR="00F65F31" w:rsidRPr="00826DC4">
        <w:rPr>
          <w:rFonts w:ascii="Times New Roman" w:eastAsia="Calibri" w:hAnsi="Times New Roman" w:cs="Times New Roman"/>
          <w:sz w:val="20"/>
          <w:szCs w:val="20"/>
        </w:rPr>
        <w:t>,</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Journal of European Public Policy</w:t>
      </w:r>
      <w:r w:rsidR="00F04242"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14</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4</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582-610.  </w:t>
      </w:r>
    </w:p>
    <w:p w14:paraId="754EE670" w14:textId="3E9DD1BB"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Fernandez, R</w:t>
      </w:r>
      <w:r w:rsidR="00627E8B" w:rsidRPr="00826DC4">
        <w:rPr>
          <w:rFonts w:ascii="Times New Roman" w:eastAsia="Calibri" w:hAnsi="Times New Roman" w:cs="Times New Roman"/>
          <w:sz w:val="20"/>
          <w:szCs w:val="20"/>
        </w:rPr>
        <w:t>aquel</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and </w:t>
      </w:r>
      <w:r w:rsidR="00627E8B" w:rsidRPr="00826DC4">
        <w:rPr>
          <w:rFonts w:ascii="Times New Roman" w:eastAsia="Calibri" w:hAnsi="Times New Roman" w:cs="Times New Roman"/>
          <w:sz w:val="20"/>
          <w:szCs w:val="20"/>
        </w:rPr>
        <w:t xml:space="preserve">Richard </w:t>
      </w:r>
      <w:r w:rsidRPr="00826DC4">
        <w:rPr>
          <w:rFonts w:ascii="Times New Roman" w:eastAsia="Calibri" w:hAnsi="Times New Roman" w:cs="Times New Roman"/>
          <w:sz w:val="20"/>
          <w:szCs w:val="20"/>
        </w:rPr>
        <w:t>Rogerson</w:t>
      </w:r>
      <w:r w:rsidR="00F04242" w:rsidRPr="00826DC4">
        <w:rPr>
          <w:rFonts w:ascii="Times New Roman" w:eastAsia="Calibri" w:hAnsi="Times New Roman" w:cs="Times New Roman"/>
          <w:sz w:val="20"/>
          <w:szCs w:val="20"/>
        </w:rPr>
        <w:t>,</w:t>
      </w:r>
      <w:r w:rsidR="00627E8B"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1997</w:t>
      </w:r>
      <w:r w:rsidR="00F04242" w:rsidRPr="00826DC4">
        <w:rPr>
          <w:rFonts w:ascii="Times New Roman" w:eastAsia="Calibri" w:hAnsi="Times New Roman" w:cs="Times New Roman"/>
          <w:sz w:val="20"/>
          <w:szCs w:val="20"/>
        </w:rPr>
        <w:t xml:space="preserve">, </w:t>
      </w:r>
      <w:proofErr w:type="gramStart"/>
      <w:r w:rsidRPr="00826DC4">
        <w:rPr>
          <w:rFonts w:ascii="Times New Roman" w:eastAsia="Calibri" w:hAnsi="Times New Roman" w:cs="Times New Roman"/>
          <w:sz w:val="20"/>
          <w:szCs w:val="20"/>
        </w:rPr>
        <w:t>The</w:t>
      </w:r>
      <w:proofErr w:type="gramEnd"/>
      <w:r w:rsidRPr="00826DC4">
        <w:rPr>
          <w:rFonts w:ascii="Times New Roman" w:eastAsia="Calibri" w:hAnsi="Times New Roman" w:cs="Times New Roman"/>
          <w:sz w:val="20"/>
          <w:szCs w:val="20"/>
        </w:rPr>
        <w:t xml:space="preserve"> determinants of public education expenditures: evidence from the States, 1950-1990</w:t>
      </w:r>
      <w:r w:rsidR="00627E8B" w:rsidRPr="00826DC4">
        <w:rPr>
          <w:rFonts w:ascii="Times New Roman" w:eastAsia="Calibri" w:hAnsi="Times New Roman" w:cs="Times New Roman"/>
          <w:sz w:val="20"/>
          <w:szCs w:val="20"/>
        </w:rPr>
        <w:t xml:space="preserve">, </w:t>
      </w:r>
      <w:r w:rsidR="00627E8B" w:rsidRPr="00826DC4">
        <w:rPr>
          <w:rFonts w:ascii="Times New Roman" w:eastAsia="Calibri" w:hAnsi="Times New Roman" w:cs="Times New Roman"/>
          <w:i/>
          <w:sz w:val="20"/>
          <w:szCs w:val="20"/>
        </w:rPr>
        <w:t>No. w5995. National Bureau of Economic Research</w:t>
      </w:r>
      <w:r w:rsidRPr="00826DC4">
        <w:rPr>
          <w:rFonts w:ascii="Times New Roman" w:eastAsia="Calibri" w:hAnsi="Times New Roman" w:cs="Times New Roman"/>
          <w:sz w:val="20"/>
          <w:szCs w:val="20"/>
        </w:rPr>
        <w:t xml:space="preserve">. </w:t>
      </w:r>
    </w:p>
    <w:p w14:paraId="4334B13F" w14:textId="075D5A2D" w:rsidR="00BA52DE"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sz w:val="20"/>
          <w:szCs w:val="20"/>
        </w:rPr>
      </w:pPr>
      <w:proofErr w:type="spellStart"/>
      <w:r w:rsidRPr="00826DC4">
        <w:rPr>
          <w:rFonts w:ascii="Times New Roman" w:eastAsia="Calibri" w:hAnsi="Times New Roman" w:cs="Times New Roman"/>
          <w:sz w:val="20"/>
          <w:szCs w:val="20"/>
        </w:rPr>
        <w:t>Galor</w:t>
      </w:r>
      <w:proofErr w:type="spellEnd"/>
      <w:r w:rsidRPr="00826DC4">
        <w:rPr>
          <w:rFonts w:ascii="Times New Roman" w:eastAsia="Calibri" w:hAnsi="Times New Roman" w:cs="Times New Roman"/>
          <w:sz w:val="20"/>
          <w:szCs w:val="20"/>
        </w:rPr>
        <w:t xml:space="preserve">, </w:t>
      </w:r>
      <w:proofErr w:type="spellStart"/>
      <w:r w:rsidRPr="00826DC4">
        <w:rPr>
          <w:rFonts w:ascii="Times New Roman" w:eastAsia="Calibri" w:hAnsi="Times New Roman" w:cs="Times New Roman"/>
          <w:sz w:val="20"/>
          <w:szCs w:val="20"/>
        </w:rPr>
        <w:t>O</w:t>
      </w:r>
      <w:r w:rsidR="00627E8B" w:rsidRPr="00826DC4">
        <w:rPr>
          <w:rFonts w:ascii="Times New Roman" w:eastAsia="Calibri" w:hAnsi="Times New Roman" w:cs="Times New Roman"/>
          <w:sz w:val="20"/>
          <w:szCs w:val="20"/>
        </w:rPr>
        <w:t>ded</w:t>
      </w:r>
      <w:proofErr w:type="spellEnd"/>
      <w:r w:rsidRPr="00826DC4">
        <w:rPr>
          <w:rFonts w:ascii="Times New Roman" w:eastAsia="Calibri" w:hAnsi="Times New Roman" w:cs="Times New Roman"/>
          <w:sz w:val="20"/>
          <w:szCs w:val="20"/>
        </w:rPr>
        <w:t xml:space="preserve">, </w:t>
      </w:r>
      <w:r w:rsidR="00627E8B" w:rsidRPr="00826DC4">
        <w:rPr>
          <w:rFonts w:ascii="Times New Roman" w:eastAsia="Calibri" w:hAnsi="Times New Roman" w:cs="Times New Roman"/>
          <w:sz w:val="20"/>
          <w:szCs w:val="20"/>
        </w:rPr>
        <w:t xml:space="preserve">Omer </w:t>
      </w:r>
      <w:proofErr w:type="spellStart"/>
      <w:r w:rsidRPr="00826DC4">
        <w:rPr>
          <w:rFonts w:ascii="Times New Roman" w:eastAsia="Calibri" w:hAnsi="Times New Roman" w:cs="Times New Roman"/>
          <w:sz w:val="20"/>
          <w:szCs w:val="20"/>
        </w:rPr>
        <w:t>Moav</w:t>
      </w:r>
      <w:proofErr w:type="spellEnd"/>
      <w:r w:rsidR="00F04242" w:rsidRPr="00826DC4">
        <w:rPr>
          <w:rFonts w:ascii="Times New Roman" w:eastAsia="Calibri" w:hAnsi="Times New Roman" w:cs="Times New Roman"/>
          <w:sz w:val="20"/>
          <w:szCs w:val="20"/>
        </w:rPr>
        <w:t>,</w:t>
      </w:r>
      <w:r w:rsidR="00627E8B"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and </w:t>
      </w:r>
      <w:r w:rsidR="00627E8B" w:rsidRPr="00826DC4">
        <w:rPr>
          <w:rFonts w:ascii="Times New Roman" w:eastAsia="Calibri" w:hAnsi="Times New Roman" w:cs="Times New Roman"/>
          <w:sz w:val="20"/>
          <w:szCs w:val="20"/>
        </w:rPr>
        <w:t xml:space="preserve">Dietrich </w:t>
      </w:r>
      <w:proofErr w:type="spellStart"/>
      <w:r w:rsidRPr="00826DC4">
        <w:rPr>
          <w:rFonts w:ascii="Times New Roman" w:eastAsia="Calibri" w:hAnsi="Times New Roman" w:cs="Times New Roman"/>
          <w:sz w:val="20"/>
          <w:szCs w:val="20"/>
        </w:rPr>
        <w:t>Vollrath</w:t>
      </w:r>
      <w:proofErr w:type="spellEnd"/>
      <w:r w:rsidR="00F04242" w:rsidRPr="00826DC4">
        <w:rPr>
          <w:rFonts w:ascii="Times New Roman" w:eastAsia="Calibri" w:hAnsi="Times New Roman" w:cs="Times New Roman"/>
          <w:sz w:val="20"/>
          <w:szCs w:val="20"/>
        </w:rPr>
        <w:t>,</w:t>
      </w:r>
      <w:r w:rsidR="00627E8B"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2009</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bCs/>
          <w:color w:val="000000"/>
          <w:sz w:val="20"/>
          <w:szCs w:val="20"/>
        </w:rPr>
        <w:t>Inequality in Land Ownership, the Emergence of Human Capital Promoting Institutions, and the Great Divergence</w:t>
      </w:r>
      <w:r w:rsidR="00627E8B" w:rsidRPr="00826DC4">
        <w:rPr>
          <w:rFonts w:ascii="Times New Roman" w:eastAsia="Calibri" w:hAnsi="Times New Roman" w:cs="Times New Roman"/>
          <w:bCs/>
          <w:color w:val="000000"/>
          <w:sz w:val="20"/>
          <w:szCs w:val="20"/>
        </w:rPr>
        <w:t xml:space="preserve">, </w:t>
      </w:r>
      <w:r w:rsidRPr="00826DC4">
        <w:rPr>
          <w:rFonts w:ascii="Times New Roman" w:eastAsia="Calibri" w:hAnsi="Times New Roman" w:cs="Times New Roman"/>
          <w:i/>
          <w:sz w:val="20"/>
          <w:szCs w:val="20"/>
        </w:rPr>
        <w:t>Review of Economic Studies</w:t>
      </w:r>
      <w:r w:rsidR="00F04242"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76</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143-179. </w:t>
      </w:r>
    </w:p>
    <w:p w14:paraId="3D12D49D" w14:textId="5A31B068" w:rsidR="00276A43" w:rsidRPr="00826DC4" w:rsidRDefault="00276A43" w:rsidP="00826DC4">
      <w:pPr>
        <w:autoSpaceDE w:val="0"/>
        <w:autoSpaceDN w:val="0"/>
        <w:adjustRightInd w:val="0"/>
        <w:spacing w:after="0" w:line="240" w:lineRule="auto"/>
        <w:ind w:firstLine="720"/>
        <w:jc w:val="both"/>
        <w:rPr>
          <w:rFonts w:ascii="Times New Roman" w:eastAsia="Calibri" w:hAnsi="Times New Roman" w:cs="Times New Roman"/>
          <w:sz w:val="20"/>
          <w:szCs w:val="20"/>
        </w:rPr>
      </w:pPr>
      <w:proofErr w:type="spellStart"/>
      <w:r w:rsidRPr="00826DC4">
        <w:rPr>
          <w:rFonts w:ascii="Times New Roman" w:eastAsia="Calibri" w:hAnsi="Times New Roman" w:cs="Times New Roman"/>
          <w:sz w:val="20"/>
          <w:szCs w:val="20"/>
        </w:rPr>
        <w:t>Glaeser</w:t>
      </w:r>
      <w:proofErr w:type="spellEnd"/>
      <w:r w:rsidRPr="00826DC4">
        <w:rPr>
          <w:rFonts w:ascii="Times New Roman" w:eastAsia="Calibri" w:hAnsi="Times New Roman" w:cs="Times New Roman"/>
          <w:sz w:val="20"/>
          <w:szCs w:val="20"/>
        </w:rPr>
        <w:t>, E</w:t>
      </w:r>
      <w:r w:rsidR="00627E8B" w:rsidRPr="00826DC4">
        <w:rPr>
          <w:rFonts w:ascii="Times New Roman" w:eastAsia="Calibri" w:hAnsi="Times New Roman" w:cs="Times New Roman"/>
          <w:sz w:val="20"/>
          <w:szCs w:val="20"/>
        </w:rPr>
        <w:t xml:space="preserve">dward </w:t>
      </w:r>
      <w:r w:rsidRPr="00826DC4">
        <w:rPr>
          <w:rFonts w:ascii="Times New Roman" w:eastAsia="Calibri" w:hAnsi="Times New Roman" w:cs="Times New Roman"/>
          <w:sz w:val="20"/>
          <w:szCs w:val="20"/>
        </w:rPr>
        <w:t xml:space="preserve">L., </w:t>
      </w:r>
      <w:r w:rsidR="00627E8B" w:rsidRPr="00826DC4">
        <w:rPr>
          <w:rFonts w:ascii="Times New Roman" w:eastAsia="Calibri" w:hAnsi="Times New Roman" w:cs="Times New Roman"/>
          <w:sz w:val="20"/>
          <w:szCs w:val="20"/>
        </w:rPr>
        <w:t xml:space="preserve">Rafael </w:t>
      </w:r>
      <w:r w:rsidRPr="00826DC4">
        <w:rPr>
          <w:rFonts w:ascii="Times New Roman" w:eastAsia="Calibri" w:hAnsi="Times New Roman" w:cs="Times New Roman"/>
          <w:sz w:val="20"/>
          <w:szCs w:val="20"/>
        </w:rPr>
        <w:t xml:space="preserve">La Porta, </w:t>
      </w:r>
      <w:r w:rsidR="00627E8B" w:rsidRPr="00826DC4">
        <w:rPr>
          <w:rFonts w:ascii="Times New Roman" w:eastAsia="Calibri" w:hAnsi="Times New Roman" w:cs="Times New Roman"/>
          <w:sz w:val="20"/>
          <w:szCs w:val="20"/>
        </w:rPr>
        <w:t xml:space="preserve">Florencio </w:t>
      </w:r>
      <w:r w:rsidRPr="00826DC4">
        <w:rPr>
          <w:rFonts w:ascii="Times New Roman" w:eastAsia="Calibri" w:hAnsi="Times New Roman" w:cs="Times New Roman"/>
          <w:sz w:val="20"/>
          <w:szCs w:val="20"/>
        </w:rPr>
        <w:t>Lopez-De-</w:t>
      </w:r>
      <w:proofErr w:type="spellStart"/>
      <w:r w:rsidRPr="00826DC4">
        <w:rPr>
          <w:rFonts w:ascii="Times New Roman" w:eastAsia="Calibri" w:hAnsi="Times New Roman" w:cs="Times New Roman"/>
          <w:sz w:val="20"/>
          <w:szCs w:val="20"/>
        </w:rPr>
        <w:t>Silanes</w:t>
      </w:r>
      <w:proofErr w:type="spellEnd"/>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and </w:t>
      </w:r>
      <w:r w:rsidR="00627E8B" w:rsidRPr="00826DC4">
        <w:rPr>
          <w:rFonts w:ascii="Times New Roman" w:eastAsia="Calibri" w:hAnsi="Times New Roman" w:cs="Times New Roman"/>
          <w:sz w:val="20"/>
          <w:szCs w:val="20"/>
        </w:rPr>
        <w:t xml:space="preserve">Andrei </w:t>
      </w:r>
      <w:r w:rsidRPr="00826DC4">
        <w:rPr>
          <w:rFonts w:ascii="Times New Roman" w:eastAsia="Calibri" w:hAnsi="Times New Roman" w:cs="Times New Roman"/>
          <w:sz w:val="20"/>
          <w:szCs w:val="20"/>
        </w:rPr>
        <w:t>Shleifer</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2004</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Do Institutions Cause Growth</w:t>
      </w:r>
      <w:proofErr w:type="gramStart"/>
      <w:r w:rsidRPr="00826DC4">
        <w:rPr>
          <w:rFonts w:ascii="Times New Roman" w:eastAsia="Calibri" w:hAnsi="Times New Roman" w:cs="Times New Roman"/>
          <w:sz w:val="20"/>
          <w:szCs w:val="20"/>
        </w:rPr>
        <w:t>?</w:t>
      </w:r>
      <w:r w:rsidR="00F04242" w:rsidRPr="00826DC4">
        <w:rPr>
          <w:rFonts w:ascii="Times New Roman" w:eastAsia="Calibri" w:hAnsi="Times New Roman" w:cs="Times New Roman"/>
          <w:sz w:val="20"/>
          <w:szCs w:val="20"/>
        </w:rPr>
        <w:t>,</w:t>
      </w:r>
      <w:proofErr w:type="gramEnd"/>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Journal of Economic Growth</w:t>
      </w:r>
      <w:r w:rsidR="00F04242"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9</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271-303.</w:t>
      </w:r>
      <w:r w:rsidR="00BA52DE" w:rsidRPr="00826DC4">
        <w:rPr>
          <w:rFonts w:ascii="Times New Roman" w:eastAsia="Calibri" w:hAnsi="Times New Roman" w:cs="Times New Roman"/>
          <w:sz w:val="20"/>
          <w:szCs w:val="20"/>
        </w:rPr>
        <w:t xml:space="preserve"> </w:t>
      </w:r>
    </w:p>
    <w:p w14:paraId="1EE09229" w14:textId="0F49C910" w:rsidR="00BA52DE" w:rsidRPr="00826DC4" w:rsidRDefault="00BA52DE" w:rsidP="00826DC4">
      <w:pPr>
        <w:autoSpaceDE w:val="0"/>
        <w:autoSpaceDN w:val="0"/>
        <w:adjustRightInd w:val="0"/>
        <w:spacing w:after="0" w:line="240" w:lineRule="auto"/>
        <w:ind w:firstLine="720"/>
        <w:jc w:val="both"/>
        <w:rPr>
          <w:rFonts w:ascii="Times New Roman" w:eastAsia="Calibri" w:hAnsi="Times New Roman" w:cs="Times New Roman"/>
          <w:sz w:val="20"/>
          <w:szCs w:val="20"/>
        </w:rPr>
      </w:pPr>
      <w:proofErr w:type="spellStart"/>
      <w:r w:rsidRPr="00826DC4">
        <w:rPr>
          <w:rFonts w:ascii="Times New Roman" w:eastAsia="Calibri" w:hAnsi="Times New Roman" w:cs="Times New Roman"/>
          <w:sz w:val="20"/>
          <w:szCs w:val="20"/>
        </w:rPr>
        <w:t>Heston</w:t>
      </w:r>
      <w:proofErr w:type="spellEnd"/>
      <w:r w:rsidRPr="00826DC4">
        <w:rPr>
          <w:rFonts w:ascii="Times New Roman" w:eastAsia="Calibri" w:hAnsi="Times New Roman" w:cs="Times New Roman"/>
          <w:sz w:val="20"/>
          <w:szCs w:val="20"/>
        </w:rPr>
        <w:t>, Alan, Robert Summers</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and Bettina Aten</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2009</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Penn World Table Version 6.3. </w:t>
      </w:r>
      <w:r w:rsidRPr="00826DC4">
        <w:rPr>
          <w:rFonts w:ascii="Times New Roman" w:eastAsia="Calibri" w:hAnsi="Times New Roman" w:cs="Times New Roman"/>
          <w:i/>
          <w:sz w:val="20"/>
          <w:szCs w:val="20"/>
        </w:rPr>
        <w:t>Center for International Comparisons of Production, Income and Prices at the University of Pennsylvania</w:t>
      </w:r>
      <w:r w:rsidRPr="00826DC4">
        <w:rPr>
          <w:rFonts w:ascii="Times New Roman" w:eastAsia="Calibri" w:hAnsi="Times New Roman" w:cs="Times New Roman"/>
          <w:sz w:val="20"/>
          <w:szCs w:val="20"/>
        </w:rPr>
        <w:t xml:space="preserve">.  </w:t>
      </w:r>
    </w:p>
    <w:p w14:paraId="2827F4D3" w14:textId="3DD3EEAC" w:rsidR="00276A43" w:rsidRPr="00826DC4" w:rsidRDefault="00276A43" w:rsidP="00826DC4">
      <w:pPr>
        <w:autoSpaceDE w:val="0"/>
        <w:autoSpaceDN w:val="0"/>
        <w:adjustRightInd w:val="0"/>
        <w:spacing w:after="0" w:line="240" w:lineRule="auto"/>
        <w:ind w:firstLine="720"/>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Kaufmann, D</w:t>
      </w:r>
      <w:r w:rsidR="00627E8B" w:rsidRPr="00826DC4">
        <w:rPr>
          <w:rFonts w:ascii="Times New Roman" w:eastAsia="Calibri" w:hAnsi="Times New Roman" w:cs="Times New Roman"/>
          <w:sz w:val="20"/>
          <w:szCs w:val="20"/>
        </w:rPr>
        <w:t>aniel</w:t>
      </w:r>
      <w:r w:rsidRPr="00826DC4">
        <w:rPr>
          <w:rFonts w:ascii="Times New Roman" w:eastAsia="Calibri" w:hAnsi="Times New Roman" w:cs="Times New Roman"/>
          <w:sz w:val="20"/>
          <w:szCs w:val="20"/>
        </w:rPr>
        <w:t>,</w:t>
      </w:r>
      <w:r w:rsidR="00F04242" w:rsidRPr="00826DC4">
        <w:rPr>
          <w:rFonts w:ascii="Times New Roman" w:eastAsia="Calibri" w:hAnsi="Times New Roman" w:cs="Times New Roman"/>
          <w:sz w:val="20"/>
          <w:szCs w:val="20"/>
        </w:rPr>
        <w:t xml:space="preserve"> </w:t>
      </w:r>
      <w:proofErr w:type="spellStart"/>
      <w:r w:rsidR="00627E8B" w:rsidRPr="00826DC4">
        <w:rPr>
          <w:rFonts w:ascii="Times New Roman" w:eastAsia="Calibri" w:hAnsi="Times New Roman" w:cs="Times New Roman"/>
          <w:sz w:val="20"/>
          <w:szCs w:val="20"/>
        </w:rPr>
        <w:t>Aart</w:t>
      </w:r>
      <w:proofErr w:type="spellEnd"/>
      <w:r w:rsidR="00627E8B" w:rsidRPr="00826DC4">
        <w:rPr>
          <w:rFonts w:ascii="Times New Roman" w:eastAsia="Calibri" w:hAnsi="Times New Roman" w:cs="Times New Roman"/>
          <w:sz w:val="20"/>
          <w:szCs w:val="20"/>
        </w:rPr>
        <w:t xml:space="preserve"> </w:t>
      </w:r>
      <w:proofErr w:type="spellStart"/>
      <w:r w:rsidRPr="00826DC4">
        <w:rPr>
          <w:rFonts w:ascii="Times New Roman" w:eastAsia="Calibri" w:hAnsi="Times New Roman" w:cs="Times New Roman"/>
          <w:sz w:val="20"/>
          <w:szCs w:val="20"/>
        </w:rPr>
        <w:t>Kraay</w:t>
      </w:r>
      <w:proofErr w:type="spellEnd"/>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and </w:t>
      </w:r>
      <w:r w:rsidR="00627E8B" w:rsidRPr="00826DC4">
        <w:rPr>
          <w:rFonts w:ascii="Times New Roman" w:eastAsia="Calibri" w:hAnsi="Times New Roman" w:cs="Times New Roman"/>
          <w:sz w:val="20"/>
          <w:szCs w:val="20"/>
        </w:rPr>
        <w:t xml:space="preserve">Massimo </w:t>
      </w:r>
      <w:proofErr w:type="spellStart"/>
      <w:r w:rsidRPr="00826DC4">
        <w:rPr>
          <w:rFonts w:ascii="Times New Roman" w:eastAsia="Calibri" w:hAnsi="Times New Roman" w:cs="Times New Roman"/>
          <w:sz w:val="20"/>
          <w:szCs w:val="20"/>
        </w:rPr>
        <w:t>Mastruzzi</w:t>
      </w:r>
      <w:proofErr w:type="spellEnd"/>
      <w:r w:rsidR="00F04242" w:rsidRPr="00826DC4">
        <w:rPr>
          <w:rFonts w:ascii="Times New Roman" w:eastAsia="Calibri" w:hAnsi="Times New Roman" w:cs="Times New Roman"/>
          <w:sz w:val="20"/>
          <w:szCs w:val="20"/>
        </w:rPr>
        <w:t>,</w:t>
      </w:r>
      <w:r w:rsidR="001D1F03"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201</w:t>
      </w:r>
      <w:r w:rsidR="001D1F03" w:rsidRPr="00826DC4">
        <w:rPr>
          <w:rFonts w:ascii="Times New Roman" w:eastAsia="Calibri" w:hAnsi="Times New Roman" w:cs="Times New Roman"/>
          <w:sz w:val="20"/>
          <w:szCs w:val="20"/>
        </w:rPr>
        <w:t>1</w:t>
      </w:r>
      <w:r w:rsidR="00F04242" w:rsidRPr="00826DC4">
        <w:rPr>
          <w:rFonts w:ascii="Times New Roman" w:eastAsia="Calibri" w:hAnsi="Times New Roman" w:cs="Times New Roman"/>
          <w:sz w:val="20"/>
          <w:szCs w:val="20"/>
        </w:rPr>
        <w:t xml:space="preserve">, </w:t>
      </w:r>
      <w:proofErr w:type="gramStart"/>
      <w:r w:rsidRPr="00826DC4">
        <w:rPr>
          <w:rFonts w:ascii="Times New Roman" w:eastAsia="Calibri" w:hAnsi="Times New Roman" w:cs="Times New Roman"/>
          <w:sz w:val="20"/>
          <w:szCs w:val="20"/>
        </w:rPr>
        <w:t>The</w:t>
      </w:r>
      <w:proofErr w:type="gramEnd"/>
      <w:r w:rsidRPr="00826DC4">
        <w:rPr>
          <w:rFonts w:ascii="Times New Roman" w:eastAsia="Calibri" w:hAnsi="Times New Roman" w:cs="Times New Roman"/>
          <w:sz w:val="20"/>
          <w:szCs w:val="20"/>
        </w:rPr>
        <w:t xml:space="preserve"> Worldwide Governance Indicators: Methodology and Analytical Issues</w:t>
      </w:r>
      <w:r w:rsidR="001D1F03" w:rsidRPr="00826DC4">
        <w:rPr>
          <w:rFonts w:ascii="Times New Roman" w:eastAsia="Calibri" w:hAnsi="Times New Roman" w:cs="Times New Roman"/>
          <w:sz w:val="20"/>
          <w:szCs w:val="20"/>
        </w:rPr>
        <w:t xml:space="preserve">, </w:t>
      </w:r>
      <w:r w:rsidR="001D1F03" w:rsidRPr="00826DC4">
        <w:rPr>
          <w:rFonts w:ascii="Times New Roman" w:eastAsia="Calibri" w:hAnsi="Times New Roman" w:cs="Times New Roman"/>
          <w:i/>
          <w:sz w:val="20"/>
          <w:szCs w:val="20"/>
        </w:rPr>
        <w:t>Hague Journal on the Rule of Law</w:t>
      </w:r>
      <w:r w:rsidR="001D1F03" w:rsidRPr="00826DC4">
        <w:rPr>
          <w:rFonts w:ascii="Times New Roman" w:eastAsia="Calibri" w:hAnsi="Times New Roman" w:cs="Times New Roman"/>
          <w:sz w:val="20"/>
          <w:szCs w:val="20"/>
        </w:rPr>
        <w:t xml:space="preserve"> 3</w:t>
      </w:r>
      <w:r w:rsidR="00F04242" w:rsidRPr="00826DC4">
        <w:rPr>
          <w:rFonts w:ascii="Times New Roman" w:eastAsia="Calibri" w:hAnsi="Times New Roman" w:cs="Times New Roman"/>
          <w:sz w:val="20"/>
          <w:szCs w:val="20"/>
        </w:rPr>
        <w:t>,</w:t>
      </w:r>
      <w:r w:rsidR="009D4CB2" w:rsidRPr="00826DC4">
        <w:rPr>
          <w:rFonts w:ascii="Times New Roman" w:eastAsia="Calibri" w:hAnsi="Times New Roman" w:cs="Times New Roman"/>
          <w:sz w:val="20"/>
          <w:szCs w:val="20"/>
        </w:rPr>
        <w:t xml:space="preserve"> </w:t>
      </w:r>
      <w:r w:rsidR="001D1F03" w:rsidRPr="00826DC4">
        <w:rPr>
          <w:rFonts w:ascii="Times New Roman" w:eastAsia="Calibri" w:hAnsi="Times New Roman" w:cs="Times New Roman"/>
          <w:sz w:val="20"/>
          <w:szCs w:val="20"/>
        </w:rPr>
        <w:t>02</w:t>
      </w:r>
      <w:r w:rsidR="00F04242" w:rsidRPr="00826DC4">
        <w:rPr>
          <w:rFonts w:ascii="Times New Roman" w:eastAsia="Calibri" w:hAnsi="Times New Roman" w:cs="Times New Roman"/>
          <w:sz w:val="20"/>
          <w:szCs w:val="20"/>
        </w:rPr>
        <w:t>,</w:t>
      </w:r>
      <w:r w:rsidR="001D1F03" w:rsidRPr="00826DC4">
        <w:rPr>
          <w:rFonts w:ascii="Times New Roman" w:eastAsia="Calibri" w:hAnsi="Times New Roman" w:cs="Times New Roman"/>
          <w:sz w:val="20"/>
          <w:szCs w:val="20"/>
        </w:rPr>
        <w:t xml:space="preserve"> 220-246.</w:t>
      </w:r>
    </w:p>
    <w:p w14:paraId="253B2F3A" w14:textId="4059DFD1"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Lagerlof, N</w:t>
      </w:r>
      <w:r w:rsidR="001D1F03" w:rsidRPr="00826DC4">
        <w:rPr>
          <w:rFonts w:ascii="Times New Roman" w:eastAsia="Calibri" w:hAnsi="Times New Roman" w:cs="Times New Roman"/>
          <w:sz w:val="20"/>
          <w:szCs w:val="20"/>
        </w:rPr>
        <w:t>ils-</w:t>
      </w:r>
      <w:proofErr w:type="spellStart"/>
      <w:r w:rsidRPr="00826DC4">
        <w:rPr>
          <w:rFonts w:ascii="Times New Roman" w:eastAsia="Calibri" w:hAnsi="Times New Roman" w:cs="Times New Roman"/>
          <w:sz w:val="20"/>
          <w:szCs w:val="20"/>
        </w:rPr>
        <w:t>P</w:t>
      </w:r>
      <w:r w:rsidR="001D1F03" w:rsidRPr="00826DC4">
        <w:rPr>
          <w:rFonts w:ascii="Times New Roman" w:eastAsia="Calibri" w:hAnsi="Times New Roman" w:cs="Times New Roman"/>
          <w:sz w:val="20"/>
          <w:szCs w:val="20"/>
        </w:rPr>
        <w:t>etter</w:t>
      </w:r>
      <w:proofErr w:type="spellEnd"/>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and </w:t>
      </w:r>
      <w:r w:rsidR="001D1F03" w:rsidRPr="00826DC4">
        <w:rPr>
          <w:rFonts w:ascii="Times New Roman" w:eastAsia="Calibri" w:hAnsi="Times New Roman" w:cs="Times New Roman"/>
          <w:sz w:val="20"/>
          <w:szCs w:val="20"/>
        </w:rPr>
        <w:t xml:space="preserve">Thomas </w:t>
      </w:r>
      <w:proofErr w:type="spellStart"/>
      <w:r w:rsidRPr="00826DC4">
        <w:rPr>
          <w:rFonts w:ascii="Times New Roman" w:eastAsia="Calibri" w:hAnsi="Times New Roman" w:cs="Times New Roman"/>
          <w:sz w:val="20"/>
          <w:szCs w:val="20"/>
        </w:rPr>
        <w:t>Tangeras</w:t>
      </w:r>
      <w:proofErr w:type="spellEnd"/>
      <w:r w:rsidR="00F04242" w:rsidRPr="00826DC4">
        <w:rPr>
          <w:rFonts w:ascii="Times New Roman" w:eastAsia="Calibri" w:hAnsi="Times New Roman" w:cs="Times New Roman"/>
          <w:sz w:val="20"/>
          <w:szCs w:val="20"/>
        </w:rPr>
        <w:t>,</w:t>
      </w:r>
      <w:r w:rsidR="001D1F03"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2008</w:t>
      </w:r>
      <w:r w:rsidR="00F04242" w:rsidRPr="00826DC4">
        <w:rPr>
          <w:rFonts w:ascii="Times New Roman" w:eastAsia="Calibri" w:hAnsi="Times New Roman" w:cs="Times New Roman"/>
          <w:sz w:val="20"/>
          <w:szCs w:val="20"/>
        </w:rPr>
        <w:t xml:space="preserve">, </w:t>
      </w:r>
      <w:hyperlink r:id="rId14" w:history="1">
        <w:proofErr w:type="gramStart"/>
        <w:r w:rsidRPr="00826DC4">
          <w:rPr>
            <w:rFonts w:ascii="Times New Roman" w:eastAsia="Calibri" w:hAnsi="Times New Roman" w:cs="Times New Roman"/>
            <w:bCs/>
            <w:sz w:val="20"/>
            <w:szCs w:val="20"/>
          </w:rPr>
          <w:t>From</w:t>
        </w:r>
        <w:proofErr w:type="gramEnd"/>
        <w:r w:rsidRPr="00826DC4">
          <w:rPr>
            <w:rFonts w:ascii="Times New Roman" w:eastAsia="Calibri" w:hAnsi="Times New Roman" w:cs="Times New Roman"/>
            <w:bCs/>
            <w:sz w:val="20"/>
            <w:szCs w:val="20"/>
          </w:rPr>
          <w:t xml:space="preserve"> rent seeking to human capital: a model where resource shocks cause transitions from stagnation to growth</w:t>
        </w:r>
      </w:hyperlink>
      <w:r w:rsidR="001D1F03" w:rsidRPr="00826DC4">
        <w:rPr>
          <w:rFonts w:ascii="Times New Roman" w:eastAsia="Calibri" w:hAnsi="Times New Roman" w:cs="Times New Roman"/>
          <w:bCs/>
          <w:sz w:val="20"/>
          <w:szCs w:val="20"/>
        </w:rPr>
        <w:t xml:space="preserve">, </w:t>
      </w:r>
      <w:hyperlink r:id="rId15" w:history="1">
        <w:r w:rsidRPr="00826DC4">
          <w:rPr>
            <w:rFonts w:ascii="Times New Roman" w:eastAsia="Calibri" w:hAnsi="Times New Roman" w:cs="Times New Roman"/>
            <w:i/>
            <w:sz w:val="20"/>
            <w:szCs w:val="20"/>
          </w:rPr>
          <w:t>Canadian Journal of Economics</w:t>
        </w:r>
      </w:hyperlink>
      <w:r w:rsidR="00F04242"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41</w:t>
      </w:r>
      <w:r w:rsidR="00F04242" w:rsidRPr="00826DC4">
        <w:rPr>
          <w:rFonts w:ascii="Times New Roman" w:eastAsia="Calibri" w:hAnsi="Times New Roman" w:cs="Times New Roman"/>
          <w:sz w:val="20"/>
          <w:szCs w:val="20"/>
        </w:rPr>
        <w:t>,</w:t>
      </w:r>
      <w:r w:rsidR="009D4CB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3</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760-780. </w:t>
      </w:r>
    </w:p>
    <w:p w14:paraId="1D740153" w14:textId="0AF4A54D"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b/>
          <w:sz w:val="20"/>
          <w:szCs w:val="20"/>
        </w:rPr>
      </w:pPr>
      <w:r w:rsidRPr="00826DC4">
        <w:rPr>
          <w:rFonts w:ascii="Times New Roman" w:eastAsia="Calibri" w:hAnsi="Times New Roman" w:cs="Times New Roman"/>
          <w:sz w:val="20"/>
          <w:szCs w:val="20"/>
        </w:rPr>
        <w:t xml:space="preserve">Matsuyama, </w:t>
      </w:r>
      <w:proofErr w:type="spellStart"/>
      <w:r w:rsidRPr="00826DC4">
        <w:rPr>
          <w:rFonts w:ascii="Times New Roman" w:eastAsia="Calibri" w:hAnsi="Times New Roman" w:cs="Times New Roman"/>
          <w:sz w:val="20"/>
          <w:szCs w:val="20"/>
        </w:rPr>
        <w:t>K</w:t>
      </w:r>
      <w:r w:rsidR="001D1F03" w:rsidRPr="00826DC4">
        <w:rPr>
          <w:rFonts w:ascii="Times New Roman" w:eastAsia="Calibri" w:hAnsi="Times New Roman" w:cs="Times New Roman"/>
          <w:sz w:val="20"/>
          <w:szCs w:val="20"/>
        </w:rPr>
        <w:t>iminori</w:t>
      </w:r>
      <w:proofErr w:type="spellEnd"/>
      <w:r w:rsidR="00F04242" w:rsidRPr="00826DC4">
        <w:rPr>
          <w:rFonts w:ascii="Times New Roman" w:eastAsia="Calibri" w:hAnsi="Times New Roman" w:cs="Times New Roman"/>
          <w:sz w:val="20"/>
          <w:szCs w:val="20"/>
        </w:rPr>
        <w:t>,</w:t>
      </w:r>
      <w:r w:rsidR="001D1F03"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1992</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Agricultural productivity, comparative advantage, and economic growth</w:t>
      </w:r>
      <w:r w:rsidR="001D1F03"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Journal of Economic Theory</w:t>
      </w:r>
      <w:r w:rsidR="00F04242"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58</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317-334.</w:t>
      </w:r>
    </w:p>
    <w:p w14:paraId="3712FB11" w14:textId="23C9F83E"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b/>
          <w:sz w:val="20"/>
          <w:szCs w:val="20"/>
        </w:rPr>
      </w:pPr>
      <w:proofErr w:type="spellStart"/>
      <w:r w:rsidRPr="00826DC4">
        <w:rPr>
          <w:rFonts w:ascii="Times New Roman" w:eastAsia="Calibri" w:hAnsi="Times New Roman" w:cs="Times New Roman"/>
          <w:sz w:val="20"/>
          <w:szCs w:val="20"/>
        </w:rPr>
        <w:t>Mehlum</w:t>
      </w:r>
      <w:proofErr w:type="spellEnd"/>
      <w:r w:rsidRPr="00826DC4">
        <w:rPr>
          <w:rFonts w:ascii="Times New Roman" w:eastAsia="Calibri" w:hAnsi="Times New Roman" w:cs="Times New Roman"/>
          <w:sz w:val="20"/>
          <w:szCs w:val="20"/>
        </w:rPr>
        <w:t xml:space="preserve">, </w:t>
      </w:r>
      <w:proofErr w:type="spellStart"/>
      <w:r w:rsidRPr="00826DC4">
        <w:rPr>
          <w:rFonts w:ascii="Times New Roman" w:eastAsia="Calibri" w:hAnsi="Times New Roman" w:cs="Times New Roman"/>
          <w:sz w:val="20"/>
          <w:szCs w:val="20"/>
        </w:rPr>
        <w:t>H</w:t>
      </w:r>
      <w:r w:rsidR="001D1F03" w:rsidRPr="00826DC4">
        <w:rPr>
          <w:rFonts w:ascii="Times New Roman" w:eastAsia="Calibri" w:hAnsi="Times New Roman" w:cs="Times New Roman"/>
          <w:sz w:val="20"/>
          <w:szCs w:val="20"/>
        </w:rPr>
        <w:t>alvor</w:t>
      </w:r>
      <w:proofErr w:type="spellEnd"/>
      <w:r w:rsidRPr="00826DC4">
        <w:rPr>
          <w:rFonts w:ascii="Times New Roman" w:eastAsia="Calibri" w:hAnsi="Times New Roman" w:cs="Times New Roman"/>
          <w:sz w:val="20"/>
          <w:szCs w:val="20"/>
        </w:rPr>
        <w:t>,</w:t>
      </w:r>
      <w:r w:rsidR="00F04242" w:rsidRPr="00826DC4">
        <w:rPr>
          <w:rFonts w:ascii="Times New Roman" w:eastAsia="Calibri" w:hAnsi="Times New Roman" w:cs="Times New Roman"/>
          <w:sz w:val="20"/>
          <w:szCs w:val="20"/>
        </w:rPr>
        <w:t xml:space="preserve"> </w:t>
      </w:r>
      <w:r w:rsidR="001D1F03" w:rsidRPr="00826DC4">
        <w:rPr>
          <w:rFonts w:ascii="Times New Roman" w:eastAsia="Calibri" w:hAnsi="Times New Roman" w:cs="Times New Roman"/>
          <w:sz w:val="20"/>
          <w:szCs w:val="20"/>
        </w:rPr>
        <w:t xml:space="preserve">Karl </w:t>
      </w:r>
      <w:proofErr w:type="spellStart"/>
      <w:r w:rsidRPr="00826DC4">
        <w:rPr>
          <w:rFonts w:ascii="Times New Roman" w:eastAsia="Calibri" w:hAnsi="Times New Roman" w:cs="Times New Roman"/>
          <w:sz w:val="20"/>
          <w:szCs w:val="20"/>
        </w:rPr>
        <w:t>Moene</w:t>
      </w:r>
      <w:proofErr w:type="spellEnd"/>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and </w:t>
      </w:r>
      <w:r w:rsidR="001D1F03" w:rsidRPr="00826DC4">
        <w:rPr>
          <w:rFonts w:ascii="Times New Roman" w:eastAsia="Calibri" w:hAnsi="Times New Roman" w:cs="Times New Roman"/>
          <w:sz w:val="20"/>
          <w:szCs w:val="20"/>
        </w:rPr>
        <w:t xml:space="preserve">Ragnar </w:t>
      </w:r>
      <w:proofErr w:type="spellStart"/>
      <w:r w:rsidRPr="00826DC4">
        <w:rPr>
          <w:rFonts w:ascii="Times New Roman" w:eastAsia="Calibri" w:hAnsi="Times New Roman" w:cs="Times New Roman"/>
          <w:sz w:val="20"/>
          <w:szCs w:val="20"/>
        </w:rPr>
        <w:t>Torvik</w:t>
      </w:r>
      <w:proofErr w:type="spellEnd"/>
      <w:r w:rsidR="00F04242" w:rsidRPr="00826DC4">
        <w:rPr>
          <w:rFonts w:ascii="Times New Roman" w:eastAsia="Calibri" w:hAnsi="Times New Roman" w:cs="Times New Roman"/>
          <w:sz w:val="20"/>
          <w:szCs w:val="20"/>
        </w:rPr>
        <w:t>,</w:t>
      </w:r>
      <w:r w:rsidR="001D1F03"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2006</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Institutions and the resource curse</w:t>
      </w:r>
      <w:r w:rsidR="001D1F03"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iCs/>
          <w:sz w:val="20"/>
          <w:szCs w:val="20"/>
        </w:rPr>
        <w:t>Economic Journal</w:t>
      </w:r>
      <w:r w:rsidR="001D1F03" w:rsidRPr="00826DC4">
        <w:rPr>
          <w:rFonts w:ascii="Times New Roman" w:eastAsia="Calibri" w:hAnsi="Times New Roman" w:cs="Times New Roman"/>
          <w:iCs/>
          <w:sz w:val="20"/>
          <w:szCs w:val="20"/>
        </w:rPr>
        <w:t xml:space="preserve"> </w:t>
      </w:r>
      <w:r w:rsidRPr="00826DC4">
        <w:rPr>
          <w:rFonts w:ascii="Times New Roman" w:eastAsia="Calibri" w:hAnsi="Times New Roman" w:cs="Times New Roman"/>
          <w:sz w:val="20"/>
          <w:szCs w:val="20"/>
        </w:rPr>
        <w:t>116</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1-20.  </w:t>
      </w:r>
    </w:p>
    <w:p w14:paraId="404CFD20" w14:textId="1557D681"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b/>
          <w:sz w:val="20"/>
          <w:szCs w:val="20"/>
        </w:rPr>
      </w:pPr>
      <w:r w:rsidRPr="00826DC4">
        <w:rPr>
          <w:rFonts w:ascii="Times New Roman" w:eastAsia="Calibri" w:hAnsi="Times New Roman" w:cs="Times New Roman"/>
          <w:sz w:val="20"/>
          <w:szCs w:val="20"/>
        </w:rPr>
        <w:t>Poterba, J</w:t>
      </w:r>
      <w:r w:rsidR="001D1F03" w:rsidRPr="00826DC4">
        <w:rPr>
          <w:rFonts w:ascii="Times New Roman" w:eastAsia="Calibri" w:hAnsi="Times New Roman" w:cs="Times New Roman"/>
          <w:sz w:val="20"/>
          <w:szCs w:val="20"/>
        </w:rPr>
        <w:t>ames</w:t>
      </w:r>
      <w:r w:rsidRPr="00826DC4">
        <w:rPr>
          <w:rFonts w:ascii="Times New Roman" w:eastAsia="Calibri" w:hAnsi="Times New Roman" w:cs="Times New Roman"/>
          <w:sz w:val="20"/>
          <w:szCs w:val="20"/>
        </w:rPr>
        <w:t xml:space="preserve"> M.</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1997</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Demographic Structure and the Political Economy of Public Education</w:t>
      </w:r>
      <w:r w:rsidR="001D1F03"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Journal of Policy Analysis and Management</w:t>
      </w:r>
      <w:r w:rsidR="009D4CB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16</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1</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48-66.</w:t>
      </w:r>
    </w:p>
    <w:p w14:paraId="228F5BF1" w14:textId="42D77EBC" w:rsidR="00276A43" w:rsidRPr="00826DC4" w:rsidRDefault="00276A43" w:rsidP="00826DC4">
      <w:pPr>
        <w:autoSpaceDE w:val="0"/>
        <w:autoSpaceDN w:val="0"/>
        <w:adjustRightInd w:val="0"/>
        <w:spacing w:after="0" w:line="240" w:lineRule="auto"/>
        <w:ind w:firstLine="720"/>
        <w:contextualSpacing/>
        <w:jc w:val="both"/>
        <w:rPr>
          <w:rFonts w:ascii="Times New Roman" w:eastAsia="Calibri" w:hAnsi="Times New Roman" w:cs="Times New Roman"/>
          <w:sz w:val="20"/>
          <w:szCs w:val="20"/>
        </w:rPr>
      </w:pPr>
      <w:r w:rsidRPr="00826DC4">
        <w:rPr>
          <w:rFonts w:ascii="Times New Roman" w:eastAsia="Calibri" w:hAnsi="Times New Roman" w:cs="Times New Roman"/>
          <w:sz w:val="20"/>
          <w:szCs w:val="20"/>
        </w:rPr>
        <w:t>Sachs, J</w:t>
      </w:r>
      <w:r w:rsidR="009D4CB2" w:rsidRPr="00826DC4">
        <w:rPr>
          <w:rFonts w:ascii="Times New Roman" w:eastAsia="Calibri" w:hAnsi="Times New Roman" w:cs="Times New Roman"/>
          <w:sz w:val="20"/>
          <w:szCs w:val="20"/>
        </w:rPr>
        <w:t>effrey D</w:t>
      </w:r>
      <w:r w:rsidRPr="00826DC4">
        <w:rPr>
          <w:rFonts w:ascii="Times New Roman" w:eastAsia="Calibri" w:hAnsi="Times New Roman" w:cs="Times New Roman"/>
          <w:sz w:val="20"/>
          <w:szCs w:val="20"/>
        </w:rPr>
        <w:t>.</w:t>
      </w:r>
      <w:r w:rsidR="00F04242"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and </w:t>
      </w:r>
      <w:r w:rsidR="009D4CB2" w:rsidRPr="00826DC4">
        <w:rPr>
          <w:rFonts w:ascii="Times New Roman" w:eastAsia="Calibri" w:hAnsi="Times New Roman" w:cs="Times New Roman"/>
          <w:sz w:val="20"/>
          <w:szCs w:val="20"/>
        </w:rPr>
        <w:t>Andrew M. Warner</w:t>
      </w:r>
      <w:r w:rsidR="00F04242" w:rsidRPr="00826DC4">
        <w:rPr>
          <w:rFonts w:ascii="Times New Roman" w:eastAsia="Calibri" w:hAnsi="Times New Roman" w:cs="Times New Roman"/>
          <w:sz w:val="20"/>
          <w:szCs w:val="20"/>
        </w:rPr>
        <w:t>,</w:t>
      </w:r>
      <w:r w:rsidR="009D4CB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1995</w:t>
      </w:r>
      <w:r w:rsidR="00F04242" w:rsidRPr="00826DC4">
        <w:rPr>
          <w:rFonts w:ascii="Times New Roman" w:eastAsia="Calibri" w:hAnsi="Times New Roman" w:cs="Times New Roman"/>
          <w:sz w:val="20"/>
          <w:szCs w:val="20"/>
        </w:rPr>
        <w:t>,</w:t>
      </w:r>
      <w:r w:rsidR="009D4CB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Natural Resource Abundance and Economic Growth</w:t>
      </w:r>
      <w:r w:rsidR="009D4CB2" w:rsidRPr="00826DC4">
        <w:rPr>
          <w:rFonts w:ascii="Times New Roman" w:eastAsia="Calibri" w:hAnsi="Times New Roman" w:cs="Times New Roman"/>
          <w:sz w:val="20"/>
          <w:szCs w:val="20"/>
        </w:rPr>
        <w:t xml:space="preserve">, </w:t>
      </w:r>
      <w:r w:rsidR="009D4CB2" w:rsidRPr="00826DC4">
        <w:rPr>
          <w:rFonts w:ascii="Times New Roman" w:eastAsia="Calibri" w:hAnsi="Times New Roman" w:cs="Times New Roman"/>
          <w:i/>
          <w:sz w:val="20"/>
          <w:szCs w:val="20"/>
        </w:rPr>
        <w:t>No. w5398. National Bureau of Economic Research.</w:t>
      </w:r>
      <w:r w:rsidR="009D4CB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 xml:space="preserve">  </w:t>
      </w:r>
    </w:p>
    <w:p w14:paraId="1CF9CB43" w14:textId="402C0A87" w:rsidR="00276A43" w:rsidRPr="00826DC4" w:rsidRDefault="00276A43" w:rsidP="00826DC4">
      <w:pPr>
        <w:spacing w:after="0" w:line="240" w:lineRule="auto"/>
        <w:ind w:firstLine="720"/>
        <w:contextualSpacing/>
        <w:jc w:val="both"/>
        <w:rPr>
          <w:rFonts w:ascii="Times New Roman" w:eastAsia="Calibri" w:hAnsi="Times New Roman" w:cs="Times New Roman"/>
          <w:b/>
          <w:sz w:val="20"/>
          <w:szCs w:val="20"/>
        </w:rPr>
      </w:pPr>
      <w:proofErr w:type="spellStart"/>
      <w:r w:rsidRPr="00826DC4">
        <w:rPr>
          <w:rFonts w:ascii="Times New Roman" w:eastAsia="Calibri" w:hAnsi="Times New Roman" w:cs="Times New Roman"/>
          <w:sz w:val="20"/>
          <w:szCs w:val="20"/>
        </w:rPr>
        <w:t>Stijns</w:t>
      </w:r>
      <w:proofErr w:type="spellEnd"/>
      <w:r w:rsidRPr="00826DC4">
        <w:rPr>
          <w:rFonts w:ascii="Times New Roman" w:eastAsia="Calibri" w:hAnsi="Times New Roman" w:cs="Times New Roman"/>
          <w:sz w:val="20"/>
          <w:szCs w:val="20"/>
        </w:rPr>
        <w:t>,</w:t>
      </w:r>
      <w:r w:rsidR="00F0424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J</w:t>
      </w:r>
      <w:r w:rsidR="009D4CB2" w:rsidRPr="00826DC4">
        <w:rPr>
          <w:rFonts w:ascii="Times New Roman" w:eastAsia="Calibri" w:hAnsi="Times New Roman" w:cs="Times New Roman"/>
          <w:sz w:val="20"/>
          <w:szCs w:val="20"/>
        </w:rPr>
        <w:t>ean-</w:t>
      </w:r>
      <w:r w:rsidRPr="00826DC4">
        <w:rPr>
          <w:rFonts w:ascii="Times New Roman" w:eastAsia="Calibri" w:hAnsi="Times New Roman" w:cs="Times New Roman"/>
          <w:sz w:val="20"/>
          <w:szCs w:val="20"/>
        </w:rPr>
        <w:t>P</w:t>
      </w:r>
      <w:r w:rsidR="009D4CB2" w:rsidRPr="00826DC4">
        <w:rPr>
          <w:rFonts w:ascii="Times New Roman" w:eastAsia="Calibri" w:hAnsi="Times New Roman" w:cs="Times New Roman"/>
          <w:sz w:val="20"/>
          <w:szCs w:val="20"/>
        </w:rPr>
        <w:t>hilippe</w:t>
      </w:r>
      <w:r w:rsidR="00F04242" w:rsidRPr="00826DC4">
        <w:rPr>
          <w:rFonts w:ascii="Times New Roman" w:eastAsia="Calibri" w:hAnsi="Times New Roman" w:cs="Times New Roman"/>
          <w:sz w:val="20"/>
          <w:szCs w:val="20"/>
        </w:rPr>
        <w:t>,</w:t>
      </w:r>
      <w:r w:rsidR="009D4CB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2006</w:t>
      </w:r>
      <w:r w:rsidR="00F04242" w:rsidRPr="00826DC4">
        <w:rPr>
          <w:rFonts w:ascii="Times New Roman" w:eastAsia="Calibri" w:hAnsi="Times New Roman" w:cs="Times New Roman"/>
          <w:sz w:val="20"/>
          <w:szCs w:val="20"/>
        </w:rPr>
        <w:t>,</w:t>
      </w:r>
      <w:r w:rsidR="009D4CB2"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Natural Resource Abundance and Human Capital Accumulation</w:t>
      </w:r>
      <w:r w:rsidR="009D4CB2" w:rsidRPr="00826DC4">
        <w:rPr>
          <w:rFonts w:ascii="Times New Roman" w:eastAsia="Calibri" w:hAnsi="Times New Roman" w:cs="Times New Roman"/>
          <w:sz w:val="20"/>
          <w:szCs w:val="20"/>
        </w:rPr>
        <w:t>,</w:t>
      </w:r>
      <w:r w:rsidR="002C5AA0"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i/>
          <w:sz w:val="20"/>
          <w:szCs w:val="20"/>
        </w:rPr>
        <w:t>World Development</w:t>
      </w:r>
      <w:r w:rsidR="002C5AA0" w:rsidRPr="00826DC4">
        <w:rPr>
          <w:rFonts w:ascii="Times New Roman" w:eastAsia="Calibri" w:hAnsi="Times New Roman" w:cs="Times New Roman"/>
          <w:i/>
          <w:sz w:val="20"/>
          <w:szCs w:val="20"/>
        </w:rPr>
        <w:t xml:space="preserve">, </w:t>
      </w:r>
      <w:r w:rsidRPr="00826DC4">
        <w:rPr>
          <w:rFonts w:ascii="Times New Roman" w:eastAsia="Calibri" w:hAnsi="Times New Roman" w:cs="Times New Roman"/>
          <w:sz w:val="20"/>
          <w:szCs w:val="20"/>
        </w:rPr>
        <w:t>34</w:t>
      </w:r>
      <w:r w:rsidR="002C5AA0" w:rsidRPr="00826DC4">
        <w:rPr>
          <w:rFonts w:ascii="Times New Roman" w:eastAsia="Calibri" w:hAnsi="Times New Roman" w:cs="Times New Roman"/>
          <w:sz w:val="20"/>
          <w:szCs w:val="20"/>
        </w:rPr>
        <w:t>,</w:t>
      </w:r>
      <w:r w:rsidRPr="00826DC4">
        <w:rPr>
          <w:rFonts w:ascii="Times New Roman" w:eastAsia="Calibri" w:hAnsi="Times New Roman" w:cs="Times New Roman"/>
          <w:sz w:val="20"/>
          <w:szCs w:val="20"/>
        </w:rPr>
        <w:t xml:space="preserve"> 6</w:t>
      </w:r>
      <w:r w:rsidR="002C5AA0" w:rsidRPr="00826DC4">
        <w:rPr>
          <w:rFonts w:ascii="Times New Roman" w:eastAsia="Calibri" w:hAnsi="Times New Roman" w:cs="Times New Roman"/>
          <w:sz w:val="20"/>
          <w:szCs w:val="20"/>
        </w:rPr>
        <w:t xml:space="preserve">, </w:t>
      </w:r>
      <w:r w:rsidRPr="00826DC4">
        <w:rPr>
          <w:rFonts w:ascii="Times New Roman" w:eastAsia="Calibri" w:hAnsi="Times New Roman" w:cs="Times New Roman"/>
          <w:sz w:val="20"/>
          <w:szCs w:val="20"/>
        </w:rPr>
        <w:t>1060-1083.</w:t>
      </w:r>
    </w:p>
    <w:p w14:paraId="0EA54220" w14:textId="0771120A" w:rsidR="007B0D87" w:rsidRDefault="007B0D87" w:rsidP="00AC1B37">
      <w:pPr>
        <w:spacing w:after="120" w:line="480" w:lineRule="auto"/>
        <w:jc w:val="both"/>
        <w:rPr>
          <w:rFonts w:ascii="Times New Roman" w:hAnsi="Times New Roman" w:cs="Times New Roman"/>
          <w:sz w:val="24"/>
          <w:szCs w:val="24"/>
        </w:rPr>
      </w:pPr>
    </w:p>
    <w:p w14:paraId="110F1B30" w14:textId="77777777" w:rsidR="007B0D87" w:rsidRPr="00210AA4" w:rsidRDefault="007B0D87" w:rsidP="00AC1B37">
      <w:pPr>
        <w:widowControl w:val="0"/>
        <w:autoSpaceDE w:val="0"/>
        <w:autoSpaceDN w:val="0"/>
        <w:adjustRightInd w:val="0"/>
        <w:spacing w:after="0" w:line="240" w:lineRule="auto"/>
        <w:rPr>
          <w:rFonts w:ascii="Times New Roman" w:eastAsiaTheme="minorEastAsia" w:hAnsi="Times New Roman" w:cs="Times New Roman"/>
          <w:sz w:val="16"/>
          <w:szCs w:val="16"/>
        </w:rPr>
      </w:pPr>
    </w:p>
    <w:sectPr w:rsidR="007B0D87" w:rsidRPr="00210AA4" w:rsidSect="009B0760">
      <w:footerReference w:type="default" r:id="rId16"/>
      <w:pgSz w:w="12240" w:h="15840"/>
      <w:pgMar w:top="1440" w:right="1440" w:bottom="180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D4E2C" w14:textId="77777777" w:rsidR="00703372" w:rsidRDefault="00703372" w:rsidP="003B0E8A">
      <w:pPr>
        <w:spacing w:after="0" w:line="240" w:lineRule="auto"/>
      </w:pPr>
      <w:r>
        <w:separator/>
      </w:r>
    </w:p>
  </w:endnote>
  <w:endnote w:type="continuationSeparator" w:id="0">
    <w:p w14:paraId="7F464975" w14:textId="77777777" w:rsidR="00703372" w:rsidRDefault="00703372" w:rsidP="003B0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948101"/>
      <w:docPartObj>
        <w:docPartGallery w:val="Page Numbers (Bottom of Page)"/>
        <w:docPartUnique/>
      </w:docPartObj>
    </w:sdtPr>
    <w:sdtEndPr>
      <w:rPr>
        <w:noProof/>
      </w:rPr>
    </w:sdtEndPr>
    <w:sdtContent>
      <w:p w14:paraId="0E783FFF" w14:textId="319CE7A9" w:rsidR="00E5123A" w:rsidRDefault="00E5123A">
        <w:pPr>
          <w:pStyle w:val="Footer"/>
          <w:jc w:val="right"/>
        </w:pPr>
        <w:r>
          <w:fldChar w:fldCharType="begin"/>
        </w:r>
        <w:r>
          <w:instrText xml:space="preserve"> PAGE   \* MERGEFORMAT </w:instrText>
        </w:r>
        <w:r>
          <w:fldChar w:fldCharType="separate"/>
        </w:r>
        <w:r w:rsidR="00885E0C">
          <w:rPr>
            <w:noProof/>
          </w:rPr>
          <w:t>2</w:t>
        </w:r>
        <w:r>
          <w:rPr>
            <w:noProof/>
          </w:rPr>
          <w:fldChar w:fldCharType="end"/>
        </w:r>
      </w:p>
    </w:sdtContent>
  </w:sdt>
  <w:p w14:paraId="13CE7415" w14:textId="77777777" w:rsidR="00E5123A" w:rsidRDefault="00E51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530560"/>
      <w:docPartObj>
        <w:docPartGallery w:val="Page Numbers (Bottom of Page)"/>
        <w:docPartUnique/>
      </w:docPartObj>
    </w:sdtPr>
    <w:sdtEndPr>
      <w:rPr>
        <w:noProof/>
      </w:rPr>
    </w:sdtEndPr>
    <w:sdtContent>
      <w:p w14:paraId="5F7A7974" w14:textId="2030A806" w:rsidR="00E5123A" w:rsidRDefault="00E5123A">
        <w:pPr>
          <w:pStyle w:val="Footer"/>
          <w:jc w:val="right"/>
        </w:pPr>
        <w:r>
          <w:fldChar w:fldCharType="begin"/>
        </w:r>
        <w:r>
          <w:instrText xml:space="preserve"> PAGE   \* MERGEFORMAT </w:instrText>
        </w:r>
        <w:r>
          <w:fldChar w:fldCharType="separate"/>
        </w:r>
        <w:r w:rsidR="00885E0C">
          <w:rPr>
            <w:noProof/>
          </w:rPr>
          <w:t>20</w:t>
        </w:r>
        <w:r>
          <w:rPr>
            <w:noProof/>
          </w:rPr>
          <w:fldChar w:fldCharType="end"/>
        </w:r>
      </w:p>
    </w:sdtContent>
  </w:sdt>
  <w:p w14:paraId="7AC57571" w14:textId="7D79E5F7" w:rsidR="00E5123A" w:rsidRDefault="00E5123A">
    <w:pPr>
      <w:widowControl w:val="0"/>
      <w:autoSpaceDE w:val="0"/>
      <w:autoSpaceDN w:val="0"/>
      <w:adjustRightInd w:val="0"/>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77BE0" w14:textId="77777777" w:rsidR="00703372" w:rsidRDefault="00703372" w:rsidP="003B0E8A">
      <w:pPr>
        <w:spacing w:after="0" w:line="240" w:lineRule="auto"/>
      </w:pPr>
      <w:r>
        <w:separator/>
      </w:r>
    </w:p>
  </w:footnote>
  <w:footnote w:type="continuationSeparator" w:id="0">
    <w:p w14:paraId="3A4CDCDE" w14:textId="77777777" w:rsidR="00703372" w:rsidRDefault="00703372" w:rsidP="003B0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73A"/>
    <w:multiLevelType w:val="hybridMultilevel"/>
    <w:tmpl w:val="58C05A04"/>
    <w:lvl w:ilvl="0" w:tplc="AFA02206">
      <w:start w:val="1"/>
      <w:numFmt w:val="upperRoman"/>
      <w:lvlText w:val="%1."/>
      <w:lvlJc w:val="left"/>
      <w:pPr>
        <w:ind w:left="648" w:hanging="720"/>
      </w:pPr>
      <w:rPr>
        <w:rFonts w:hint="default"/>
        <w:b w:val="0"/>
        <w:sz w:val="24"/>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 w15:restartNumberingAfterBreak="0">
    <w:nsid w:val="1A6411D4"/>
    <w:multiLevelType w:val="hybridMultilevel"/>
    <w:tmpl w:val="6232779A"/>
    <w:lvl w:ilvl="0" w:tplc="04090013">
      <w:start w:val="1"/>
      <w:numFmt w:val="upperRoman"/>
      <w:lvlText w:val="%1."/>
      <w:lvlJc w:val="righ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216427C6"/>
    <w:multiLevelType w:val="hybridMultilevel"/>
    <w:tmpl w:val="426EE91E"/>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24476060"/>
    <w:multiLevelType w:val="hybridMultilevel"/>
    <w:tmpl w:val="96385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BDE160F"/>
    <w:multiLevelType w:val="hybridMultilevel"/>
    <w:tmpl w:val="D6B2268A"/>
    <w:lvl w:ilvl="0" w:tplc="04090013">
      <w:start w:val="1"/>
      <w:numFmt w:val="upperRoman"/>
      <w:lvlText w:val="%1."/>
      <w:lvlJc w:val="righ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5" w15:restartNumberingAfterBreak="0">
    <w:nsid w:val="57FB0F30"/>
    <w:multiLevelType w:val="hybridMultilevel"/>
    <w:tmpl w:val="E278BFF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34BE"/>
    <w:multiLevelType w:val="hybridMultilevel"/>
    <w:tmpl w:val="45FE74C4"/>
    <w:lvl w:ilvl="0" w:tplc="04090013">
      <w:start w:val="1"/>
      <w:numFmt w:val="upperRoman"/>
      <w:lvlText w:val="%1."/>
      <w:lvlJc w:val="righ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72B36F1"/>
    <w:multiLevelType w:val="hybridMultilevel"/>
    <w:tmpl w:val="79E48C34"/>
    <w:lvl w:ilvl="0" w:tplc="1ED420B0">
      <w:start w:val="1"/>
      <w:numFmt w:val="decimal"/>
      <w:lvlText w:val="%1."/>
      <w:lvlJc w:val="left"/>
      <w:pPr>
        <w:ind w:left="-72" w:hanging="360"/>
      </w:pPr>
      <w:rPr>
        <w:rFonts w:hint="default"/>
        <w:b/>
        <w:i w:val="0"/>
        <w:sz w:val="24"/>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8" w15:restartNumberingAfterBreak="0">
    <w:nsid w:val="779C5D42"/>
    <w:multiLevelType w:val="hybridMultilevel"/>
    <w:tmpl w:val="2D96323A"/>
    <w:lvl w:ilvl="0" w:tplc="DBBC4F0E">
      <w:start w:val="1"/>
      <w:numFmt w:val="decimal"/>
      <w:lvlText w:val="%1."/>
      <w:lvlJc w:val="left"/>
      <w:pPr>
        <w:ind w:left="-72" w:hanging="360"/>
      </w:pPr>
      <w:rPr>
        <w:rFonts w:hint="default"/>
      </w:rPr>
    </w:lvl>
    <w:lvl w:ilvl="1" w:tplc="041F0019" w:tentative="1">
      <w:start w:val="1"/>
      <w:numFmt w:val="lowerLetter"/>
      <w:lvlText w:val="%2."/>
      <w:lvlJc w:val="left"/>
      <w:pPr>
        <w:ind w:left="648" w:hanging="360"/>
      </w:pPr>
    </w:lvl>
    <w:lvl w:ilvl="2" w:tplc="041F001B" w:tentative="1">
      <w:start w:val="1"/>
      <w:numFmt w:val="lowerRoman"/>
      <w:lvlText w:val="%3."/>
      <w:lvlJc w:val="right"/>
      <w:pPr>
        <w:ind w:left="1368" w:hanging="180"/>
      </w:pPr>
    </w:lvl>
    <w:lvl w:ilvl="3" w:tplc="041F000F" w:tentative="1">
      <w:start w:val="1"/>
      <w:numFmt w:val="decimal"/>
      <w:lvlText w:val="%4."/>
      <w:lvlJc w:val="left"/>
      <w:pPr>
        <w:ind w:left="2088" w:hanging="360"/>
      </w:pPr>
    </w:lvl>
    <w:lvl w:ilvl="4" w:tplc="041F0019" w:tentative="1">
      <w:start w:val="1"/>
      <w:numFmt w:val="lowerLetter"/>
      <w:lvlText w:val="%5."/>
      <w:lvlJc w:val="left"/>
      <w:pPr>
        <w:ind w:left="2808" w:hanging="360"/>
      </w:pPr>
    </w:lvl>
    <w:lvl w:ilvl="5" w:tplc="041F001B" w:tentative="1">
      <w:start w:val="1"/>
      <w:numFmt w:val="lowerRoman"/>
      <w:lvlText w:val="%6."/>
      <w:lvlJc w:val="right"/>
      <w:pPr>
        <w:ind w:left="3528" w:hanging="180"/>
      </w:pPr>
    </w:lvl>
    <w:lvl w:ilvl="6" w:tplc="041F000F" w:tentative="1">
      <w:start w:val="1"/>
      <w:numFmt w:val="decimal"/>
      <w:lvlText w:val="%7."/>
      <w:lvlJc w:val="left"/>
      <w:pPr>
        <w:ind w:left="4248" w:hanging="360"/>
      </w:pPr>
    </w:lvl>
    <w:lvl w:ilvl="7" w:tplc="041F0019" w:tentative="1">
      <w:start w:val="1"/>
      <w:numFmt w:val="lowerLetter"/>
      <w:lvlText w:val="%8."/>
      <w:lvlJc w:val="left"/>
      <w:pPr>
        <w:ind w:left="4968" w:hanging="360"/>
      </w:pPr>
    </w:lvl>
    <w:lvl w:ilvl="8" w:tplc="041F001B" w:tentative="1">
      <w:start w:val="1"/>
      <w:numFmt w:val="lowerRoman"/>
      <w:lvlText w:val="%9."/>
      <w:lvlJc w:val="right"/>
      <w:pPr>
        <w:ind w:left="5688" w:hanging="180"/>
      </w:pPr>
    </w:lvl>
  </w:abstractNum>
  <w:num w:numId="1">
    <w:abstractNumId w:val="3"/>
  </w:num>
  <w:num w:numId="2">
    <w:abstractNumId w:val="6"/>
  </w:num>
  <w:num w:numId="3">
    <w:abstractNumId w:val="7"/>
  </w:num>
  <w:num w:numId="4">
    <w:abstractNumId w:val="1"/>
  </w:num>
  <w:num w:numId="5">
    <w:abstractNumId w:val="4"/>
  </w:num>
  <w:num w:numId="6">
    <w:abstractNumId w:val="0"/>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64"/>
    <w:rsid w:val="00002636"/>
    <w:rsid w:val="000116DA"/>
    <w:rsid w:val="000178E7"/>
    <w:rsid w:val="00044841"/>
    <w:rsid w:val="00051AE0"/>
    <w:rsid w:val="00062BB0"/>
    <w:rsid w:val="00075305"/>
    <w:rsid w:val="00075FFE"/>
    <w:rsid w:val="00091183"/>
    <w:rsid w:val="00095C15"/>
    <w:rsid w:val="000A52F7"/>
    <w:rsid w:val="000C3DF9"/>
    <w:rsid w:val="000C6B82"/>
    <w:rsid w:val="000C7A38"/>
    <w:rsid w:val="000D1849"/>
    <w:rsid w:val="000E023C"/>
    <w:rsid w:val="000E65C2"/>
    <w:rsid w:val="000F0E8A"/>
    <w:rsid w:val="000F189A"/>
    <w:rsid w:val="001035C1"/>
    <w:rsid w:val="00113FC1"/>
    <w:rsid w:val="00117190"/>
    <w:rsid w:val="00120745"/>
    <w:rsid w:val="00130436"/>
    <w:rsid w:val="00131D5C"/>
    <w:rsid w:val="0013289A"/>
    <w:rsid w:val="001342DC"/>
    <w:rsid w:val="0014337C"/>
    <w:rsid w:val="00146277"/>
    <w:rsid w:val="00153AAF"/>
    <w:rsid w:val="0019305F"/>
    <w:rsid w:val="001A69EA"/>
    <w:rsid w:val="001B0A9C"/>
    <w:rsid w:val="001B564C"/>
    <w:rsid w:val="001B7158"/>
    <w:rsid w:val="001D1F03"/>
    <w:rsid w:val="001D3BA5"/>
    <w:rsid w:val="001E00A0"/>
    <w:rsid w:val="001F56F3"/>
    <w:rsid w:val="002034E3"/>
    <w:rsid w:val="00210AA4"/>
    <w:rsid w:val="00210D0B"/>
    <w:rsid w:val="002132D9"/>
    <w:rsid w:val="00215A37"/>
    <w:rsid w:val="00251A1B"/>
    <w:rsid w:val="00253A7D"/>
    <w:rsid w:val="00262CD0"/>
    <w:rsid w:val="002736E5"/>
    <w:rsid w:val="00276199"/>
    <w:rsid w:val="00276A43"/>
    <w:rsid w:val="00280B75"/>
    <w:rsid w:val="00290249"/>
    <w:rsid w:val="002C09B5"/>
    <w:rsid w:val="002C0E09"/>
    <w:rsid w:val="002C23EF"/>
    <w:rsid w:val="002C5AA0"/>
    <w:rsid w:val="002C7C2D"/>
    <w:rsid w:val="002F07B7"/>
    <w:rsid w:val="003011F4"/>
    <w:rsid w:val="003071CF"/>
    <w:rsid w:val="00326018"/>
    <w:rsid w:val="003265D1"/>
    <w:rsid w:val="00326884"/>
    <w:rsid w:val="0033601B"/>
    <w:rsid w:val="003451F3"/>
    <w:rsid w:val="00354895"/>
    <w:rsid w:val="0036278B"/>
    <w:rsid w:val="00367D2F"/>
    <w:rsid w:val="00380022"/>
    <w:rsid w:val="00381412"/>
    <w:rsid w:val="00381CA9"/>
    <w:rsid w:val="00387E7E"/>
    <w:rsid w:val="00392087"/>
    <w:rsid w:val="0039345C"/>
    <w:rsid w:val="003A37AD"/>
    <w:rsid w:val="003B0E8A"/>
    <w:rsid w:val="003B56CB"/>
    <w:rsid w:val="003C64F7"/>
    <w:rsid w:val="003D7540"/>
    <w:rsid w:val="003F62F7"/>
    <w:rsid w:val="00400957"/>
    <w:rsid w:val="00407D51"/>
    <w:rsid w:val="00424DE4"/>
    <w:rsid w:val="00455017"/>
    <w:rsid w:val="00460339"/>
    <w:rsid w:val="004646BA"/>
    <w:rsid w:val="004661DD"/>
    <w:rsid w:val="00472A00"/>
    <w:rsid w:val="004746C9"/>
    <w:rsid w:val="00476326"/>
    <w:rsid w:val="00485837"/>
    <w:rsid w:val="004A5872"/>
    <w:rsid w:val="004A781E"/>
    <w:rsid w:val="004B68BB"/>
    <w:rsid w:val="004C66C9"/>
    <w:rsid w:val="004E066D"/>
    <w:rsid w:val="004E3B4B"/>
    <w:rsid w:val="004E789F"/>
    <w:rsid w:val="004F785A"/>
    <w:rsid w:val="00510FBA"/>
    <w:rsid w:val="00512672"/>
    <w:rsid w:val="00513025"/>
    <w:rsid w:val="00534CB5"/>
    <w:rsid w:val="005442B4"/>
    <w:rsid w:val="00563720"/>
    <w:rsid w:val="005647AF"/>
    <w:rsid w:val="0058751D"/>
    <w:rsid w:val="005976F9"/>
    <w:rsid w:val="005B024B"/>
    <w:rsid w:val="005C1ABF"/>
    <w:rsid w:val="005C7689"/>
    <w:rsid w:val="005D7DD1"/>
    <w:rsid w:val="005E1941"/>
    <w:rsid w:val="005E5ED2"/>
    <w:rsid w:val="005F6110"/>
    <w:rsid w:val="00610C92"/>
    <w:rsid w:val="00625C40"/>
    <w:rsid w:val="00627E8B"/>
    <w:rsid w:val="00634BA3"/>
    <w:rsid w:val="00643172"/>
    <w:rsid w:val="0065670E"/>
    <w:rsid w:val="00660B7C"/>
    <w:rsid w:val="006755C6"/>
    <w:rsid w:val="006777A3"/>
    <w:rsid w:val="00681F20"/>
    <w:rsid w:val="00686C7B"/>
    <w:rsid w:val="006A7D0F"/>
    <w:rsid w:val="006B2A06"/>
    <w:rsid w:val="006B447F"/>
    <w:rsid w:val="006B7783"/>
    <w:rsid w:val="006C4715"/>
    <w:rsid w:val="006D4E1A"/>
    <w:rsid w:val="006E0FB4"/>
    <w:rsid w:val="006F14C3"/>
    <w:rsid w:val="006F6527"/>
    <w:rsid w:val="00703372"/>
    <w:rsid w:val="00704963"/>
    <w:rsid w:val="00710B74"/>
    <w:rsid w:val="0072681D"/>
    <w:rsid w:val="00731F4E"/>
    <w:rsid w:val="0075117E"/>
    <w:rsid w:val="00760288"/>
    <w:rsid w:val="00773F77"/>
    <w:rsid w:val="00774092"/>
    <w:rsid w:val="00784B2E"/>
    <w:rsid w:val="00797F4B"/>
    <w:rsid w:val="007B0D87"/>
    <w:rsid w:val="007B6472"/>
    <w:rsid w:val="007C355B"/>
    <w:rsid w:val="007E7FFA"/>
    <w:rsid w:val="007F5AD8"/>
    <w:rsid w:val="007F6A43"/>
    <w:rsid w:val="007F79F8"/>
    <w:rsid w:val="00803CE4"/>
    <w:rsid w:val="00804CB8"/>
    <w:rsid w:val="008108A8"/>
    <w:rsid w:val="0082433D"/>
    <w:rsid w:val="00826DC4"/>
    <w:rsid w:val="008270F6"/>
    <w:rsid w:val="008322C1"/>
    <w:rsid w:val="008369D6"/>
    <w:rsid w:val="0085522B"/>
    <w:rsid w:val="00872C6B"/>
    <w:rsid w:val="00873F9B"/>
    <w:rsid w:val="008803BA"/>
    <w:rsid w:val="00883CF5"/>
    <w:rsid w:val="00885E0C"/>
    <w:rsid w:val="00890EA2"/>
    <w:rsid w:val="00893736"/>
    <w:rsid w:val="008A7438"/>
    <w:rsid w:val="008A7C8D"/>
    <w:rsid w:val="008C03DE"/>
    <w:rsid w:val="008C22FE"/>
    <w:rsid w:val="008C552F"/>
    <w:rsid w:val="008D66A3"/>
    <w:rsid w:val="00900265"/>
    <w:rsid w:val="009402ED"/>
    <w:rsid w:val="00940D6C"/>
    <w:rsid w:val="00943138"/>
    <w:rsid w:val="0094661C"/>
    <w:rsid w:val="00957329"/>
    <w:rsid w:val="00965E58"/>
    <w:rsid w:val="00970B72"/>
    <w:rsid w:val="009712F4"/>
    <w:rsid w:val="009740BF"/>
    <w:rsid w:val="00997EC9"/>
    <w:rsid w:val="009A0336"/>
    <w:rsid w:val="009A245C"/>
    <w:rsid w:val="009A413D"/>
    <w:rsid w:val="009B0760"/>
    <w:rsid w:val="009B0784"/>
    <w:rsid w:val="009D4CB2"/>
    <w:rsid w:val="009E3870"/>
    <w:rsid w:val="009F00D1"/>
    <w:rsid w:val="009F40D4"/>
    <w:rsid w:val="009F6240"/>
    <w:rsid w:val="00A03E57"/>
    <w:rsid w:val="00A071C4"/>
    <w:rsid w:val="00A22E3E"/>
    <w:rsid w:val="00A37FBE"/>
    <w:rsid w:val="00A52A44"/>
    <w:rsid w:val="00A84835"/>
    <w:rsid w:val="00AA7BD8"/>
    <w:rsid w:val="00AB5351"/>
    <w:rsid w:val="00AB7E5F"/>
    <w:rsid w:val="00AC1B37"/>
    <w:rsid w:val="00AC63E4"/>
    <w:rsid w:val="00AD03BD"/>
    <w:rsid w:val="00AD0C91"/>
    <w:rsid w:val="00AE607D"/>
    <w:rsid w:val="00AE62A4"/>
    <w:rsid w:val="00AF1445"/>
    <w:rsid w:val="00B00096"/>
    <w:rsid w:val="00B221F1"/>
    <w:rsid w:val="00B4573E"/>
    <w:rsid w:val="00B51D7A"/>
    <w:rsid w:val="00B52CDF"/>
    <w:rsid w:val="00BA52DE"/>
    <w:rsid w:val="00BB0829"/>
    <w:rsid w:val="00BC259C"/>
    <w:rsid w:val="00BD32FD"/>
    <w:rsid w:val="00BD6196"/>
    <w:rsid w:val="00BE7A96"/>
    <w:rsid w:val="00BF38DE"/>
    <w:rsid w:val="00BF6355"/>
    <w:rsid w:val="00C03D64"/>
    <w:rsid w:val="00C06AD3"/>
    <w:rsid w:val="00C45117"/>
    <w:rsid w:val="00C53914"/>
    <w:rsid w:val="00C93C71"/>
    <w:rsid w:val="00CA1636"/>
    <w:rsid w:val="00CA3CE7"/>
    <w:rsid w:val="00CA56B6"/>
    <w:rsid w:val="00CC0699"/>
    <w:rsid w:val="00CD1101"/>
    <w:rsid w:val="00CD374D"/>
    <w:rsid w:val="00CD4CE9"/>
    <w:rsid w:val="00D021DC"/>
    <w:rsid w:val="00D20FDF"/>
    <w:rsid w:val="00D50C1C"/>
    <w:rsid w:val="00D5235B"/>
    <w:rsid w:val="00D74CE6"/>
    <w:rsid w:val="00D81D93"/>
    <w:rsid w:val="00D907FD"/>
    <w:rsid w:val="00D92C25"/>
    <w:rsid w:val="00DD106E"/>
    <w:rsid w:val="00DE6B5C"/>
    <w:rsid w:val="00DF22AB"/>
    <w:rsid w:val="00DF31EC"/>
    <w:rsid w:val="00E35A85"/>
    <w:rsid w:val="00E36F61"/>
    <w:rsid w:val="00E44441"/>
    <w:rsid w:val="00E5123A"/>
    <w:rsid w:val="00E66E5E"/>
    <w:rsid w:val="00E82264"/>
    <w:rsid w:val="00E9146E"/>
    <w:rsid w:val="00E96D48"/>
    <w:rsid w:val="00EA187B"/>
    <w:rsid w:val="00EB19AC"/>
    <w:rsid w:val="00EB2F91"/>
    <w:rsid w:val="00EB4550"/>
    <w:rsid w:val="00EC5E71"/>
    <w:rsid w:val="00ED09CA"/>
    <w:rsid w:val="00ED28CB"/>
    <w:rsid w:val="00EE006B"/>
    <w:rsid w:val="00EE4E23"/>
    <w:rsid w:val="00F04242"/>
    <w:rsid w:val="00F06D31"/>
    <w:rsid w:val="00F22F46"/>
    <w:rsid w:val="00F264BF"/>
    <w:rsid w:val="00F44EAA"/>
    <w:rsid w:val="00F65F31"/>
    <w:rsid w:val="00F66610"/>
    <w:rsid w:val="00F8779C"/>
    <w:rsid w:val="00FA014E"/>
    <w:rsid w:val="00FA2678"/>
    <w:rsid w:val="00FB6ED1"/>
    <w:rsid w:val="00FC62A4"/>
    <w:rsid w:val="00FD4E9A"/>
    <w:rsid w:val="00FD618E"/>
    <w:rsid w:val="00FE1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A18B1"/>
  <w15:docId w15:val="{B5FF80FF-F107-4637-91F8-A848376D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18E"/>
    <w:rPr>
      <w:color w:val="808080"/>
    </w:rPr>
  </w:style>
  <w:style w:type="paragraph" w:styleId="BalloonText">
    <w:name w:val="Balloon Text"/>
    <w:basedOn w:val="Normal"/>
    <w:link w:val="BalloonTextChar"/>
    <w:uiPriority w:val="99"/>
    <w:semiHidden/>
    <w:unhideWhenUsed/>
    <w:rsid w:val="00FD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18E"/>
    <w:rPr>
      <w:rFonts w:ascii="Tahoma" w:hAnsi="Tahoma" w:cs="Tahoma"/>
      <w:sz w:val="16"/>
      <w:szCs w:val="16"/>
    </w:rPr>
  </w:style>
  <w:style w:type="paragraph" w:styleId="Header">
    <w:name w:val="header"/>
    <w:basedOn w:val="Normal"/>
    <w:link w:val="HeaderChar"/>
    <w:uiPriority w:val="99"/>
    <w:unhideWhenUsed/>
    <w:rsid w:val="003B0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E8A"/>
  </w:style>
  <w:style w:type="paragraph" w:styleId="Footer">
    <w:name w:val="footer"/>
    <w:basedOn w:val="Normal"/>
    <w:link w:val="FooterChar"/>
    <w:uiPriority w:val="99"/>
    <w:unhideWhenUsed/>
    <w:rsid w:val="003B0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E8A"/>
  </w:style>
  <w:style w:type="paragraph" w:styleId="FootnoteText">
    <w:name w:val="footnote text"/>
    <w:basedOn w:val="Normal"/>
    <w:link w:val="FootnoteTextChar"/>
    <w:uiPriority w:val="99"/>
    <w:semiHidden/>
    <w:unhideWhenUsed/>
    <w:rsid w:val="00883CF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883CF5"/>
    <w:rPr>
      <w:rFonts w:eastAsiaTheme="minorEastAsia"/>
      <w:sz w:val="20"/>
      <w:szCs w:val="20"/>
    </w:rPr>
  </w:style>
  <w:style w:type="character" w:styleId="FootnoteReference">
    <w:name w:val="footnote reference"/>
    <w:basedOn w:val="DefaultParagraphFont"/>
    <w:uiPriority w:val="99"/>
    <w:semiHidden/>
    <w:unhideWhenUsed/>
    <w:rsid w:val="00883CF5"/>
    <w:rPr>
      <w:vertAlign w:val="superscript"/>
    </w:rPr>
  </w:style>
  <w:style w:type="paragraph" w:styleId="ListParagraph">
    <w:name w:val="List Paragraph"/>
    <w:basedOn w:val="Normal"/>
    <w:uiPriority w:val="34"/>
    <w:qFormat/>
    <w:rsid w:val="000C3DF9"/>
    <w:pPr>
      <w:ind w:left="720"/>
      <w:contextualSpacing/>
    </w:pPr>
  </w:style>
  <w:style w:type="character" w:styleId="Hyperlink">
    <w:name w:val="Hyperlink"/>
    <w:basedOn w:val="DefaultParagraphFont"/>
    <w:uiPriority w:val="99"/>
    <w:semiHidden/>
    <w:unhideWhenUsed/>
    <w:rsid w:val="000C3DF9"/>
    <w:rPr>
      <w:color w:val="000099"/>
      <w:u w:val="single"/>
    </w:rPr>
  </w:style>
  <w:style w:type="character" w:styleId="EndnoteReference">
    <w:name w:val="endnote reference"/>
    <w:basedOn w:val="DefaultParagraphFont"/>
    <w:uiPriority w:val="99"/>
    <w:semiHidden/>
    <w:unhideWhenUsed/>
    <w:rsid w:val="00784B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778569">
      <w:bodyDiv w:val="1"/>
      <w:marLeft w:val="0"/>
      <w:marRight w:val="0"/>
      <w:marTop w:val="0"/>
      <w:marBottom w:val="0"/>
      <w:divBdr>
        <w:top w:val="none" w:sz="0" w:space="0" w:color="auto"/>
        <w:left w:val="none" w:sz="0" w:space="0" w:color="auto"/>
        <w:bottom w:val="none" w:sz="0" w:space="0" w:color="auto"/>
        <w:right w:val="none" w:sz="0" w:space="0" w:color="auto"/>
      </w:divBdr>
    </w:div>
    <w:div w:id="1184441188">
      <w:bodyDiv w:val="1"/>
      <w:marLeft w:val="0"/>
      <w:marRight w:val="0"/>
      <w:marTop w:val="0"/>
      <w:marBottom w:val="0"/>
      <w:divBdr>
        <w:top w:val="none" w:sz="0" w:space="0" w:color="auto"/>
        <w:left w:val="none" w:sz="0" w:space="0" w:color="auto"/>
        <w:bottom w:val="none" w:sz="0" w:space="0" w:color="auto"/>
        <w:right w:val="none" w:sz="0" w:space="0" w:color="auto"/>
      </w:divBdr>
    </w:div>
    <w:div w:id="16943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ideas.repec.org/s/cje/issued.html" TargetMode="Externa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ideas.repec.org/a/cje/issued/v41y2008i3p760-780.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2C219A-15F7-400D-AE6C-19EDF435022C}"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US"/>
        </a:p>
      </dgm:t>
    </dgm:pt>
    <dgm:pt modelId="{C883E365-D782-491B-8563-3D8178F4B43B}">
      <dgm:prSet phldrT="[Text]" custT="1">
        <dgm:style>
          <a:lnRef idx="2">
            <a:schemeClr val="accent3"/>
          </a:lnRef>
          <a:fillRef idx="1">
            <a:schemeClr val="lt1"/>
          </a:fillRef>
          <a:effectRef idx="0">
            <a:schemeClr val="accent3"/>
          </a:effectRef>
          <a:fontRef idx="minor">
            <a:schemeClr val="dk1"/>
          </a:fontRef>
        </dgm:style>
      </dgm:prSet>
      <dgm:spPr>
        <a:xfrm>
          <a:off x="110495" y="62121"/>
          <a:ext cx="1252500" cy="1242803"/>
        </a:xfrm>
        <a:solidFill>
          <a:sysClr val="window" lastClr="FFFFFF"/>
        </a:solidFill>
        <a:ln w="12700" cap="flat" cmpd="sng" algn="ctr">
          <a:solidFill>
            <a:srgbClr val="A5A5A5"/>
          </a:solidFill>
          <a:prstDash val="solid"/>
          <a:miter lim="800000"/>
        </a:ln>
        <a:effectLst/>
      </dgm:spPr>
      <dgm:t>
        <a:bodyPr/>
        <a:lstStyle/>
        <a:p>
          <a:r>
            <a:rPr lang="en-US" sz="1100" b="1" dirty="0" smtClean="0">
              <a:solidFill>
                <a:sysClr val="windowText" lastClr="000000"/>
              </a:solidFill>
              <a:latin typeface="Calibri" panose="020F0502020204030204"/>
              <a:ea typeface="+mn-ea"/>
              <a:cs typeface="+mn-cs"/>
            </a:rPr>
            <a:t>Economic Contribution to Aggregate Output and Distribution of Resources</a:t>
          </a:r>
        </a:p>
        <a:p>
          <a:endParaRPr lang="en-US" sz="1100" b="1" dirty="0" smtClean="0">
            <a:solidFill>
              <a:sysClr val="windowText" lastClr="000000"/>
            </a:solidFill>
            <a:latin typeface="Calibri" panose="020F0502020204030204"/>
            <a:ea typeface="+mn-ea"/>
            <a:cs typeface="+mn-cs"/>
          </a:endParaRPr>
        </a:p>
      </dgm:t>
    </dgm:pt>
    <dgm:pt modelId="{614F87FD-F38D-4524-9F4D-B35209ECDC3A}" type="parTrans" cxnId="{53C01DEE-FE49-4D83-AA66-6021DC7EB5BF}">
      <dgm:prSet/>
      <dgm:spPr/>
      <dgm:t>
        <a:bodyPr/>
        <a:lstStyle/>
        <a:p>
          <a:endParaRPr lang="en-US"/>
        </a:p>
      </dgm:t>
    </dgm:pt>
    <dgm:pt modelId="{7644B16F-5F22-4CDB-B21F-529DA471C7A4}" type="sibTrans" cxnId="{53C01DEE-FE49-4D83-AA66-6021DC7EB5BF}">
      <dgm:prSet/>
      <dgm:spPr>
        <a:xfrm rot="21587969">
          <a:off x="1441222" y="563565"/>
          <a:ext cx="165841" cy="234403"/>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B57CAE68-61C9-4F2E-B6AD-E7ED174865A8}">
      <dgm:prSet phldrT="[Text]">
        <dgm:style>
          <a:lnRef idx="2">
            <a:schemeClr val="accent3"/>
          </a:lnRef>
          <a:fillRef idx="1">
            <a:schemeClr val="lt1"/>
          </a:fillRef>
          <a:effectRef idx="0">
            <a:schemeClr val="accent3"/>
          </a:effectRef>
          <a:fontRef idx="minor">
            <a:schemeClr val="dk1"/>
          </a:fontRef>
        </dgm:style>
      </dgm:prSet>
      <dgm:spPr>
        <a:xfrm>
          <a:off x="1675902" y="51432"/>
          <a:ext cx="1175903" cy="1253492"/>
        </a:xfrm>
        <a:solidFill>
          <a:sysClr val="window" lastClr="FFFFFF"/>
        </a:solidFill>
        <a:ln w="12700" cap="flat" cmpd="sng" algn="ctr">
          <a:solidFill>
            <a:srgbClr val="A5A5A5"/>
          </a:solidFill>
          <a:prstDash val="solid"/>
          <a:miter lim="800000"/>
        </a:ln>
        <a:effectLst/>
      </dgm:spPr>
      <dgm:t>
        <a:bodyPr/>
        <a:lstStyle/>
        <a:p>
          <a:r>
            <a:rPr lang="en-US" b="1" dirty="0" smtClean="0">
              <a:solidFill>
                <a:sysClr val="windowText" lastClr="000000"/>
              </a:solidFill>
              <a:latin typeface="Calibri" panose="020F0502020204030204"/>
              <a:ea typeface="+mn-ea"/>
              <a:cs typeface="+mn-cs"/>
            </a:rPr>
            <a:t>De Facto Political Power: </a:t>
          </a:r>
        </a:p>
        <a:p>
          <a:endParaRPr lang="en-US" b="1" dirty="0" smtClean="0">
            <a:solidFill>
              <a:sysClr val="windowText" lastClr="000000"/>
            </a:solidFill>
            <a:latin typeface="Calibri" panose="020F0502020204030204"/>
            <a:ea typeface="+mn-ea"/>
            <a:cs typeface="+mn-cs"/>
          </a:endParaRPr>
        </a:p>
        <a:p>
          <a:r>
            <a:rPr lang="en-US" b="1" dirty="0" smtClean="0">
              <a:solidFill>
                <a:sysClr val="windowText" lastClr="000000"/>
              </a:solidFill>
              <a:latin typeface="Calibri" panose="020F0502020204030204"/>
              <a:ea typeface="+mn-ea"/>
              <a:cs typeface="+mn-cs"/>
            </a:rPr>
            <a:t>Lobbying Power</a:t>
          </a:r>
          <a:endParaRPr lang="en-US" b="1" dirty="0">
            <a:solidFill>
              <a:sysClr val="windowText" lastClr="000000"/>
            </a:solidFill>
            <a:latin typeface="Calibri" panose="020F0502020204030204"/>
            <a:ea typeface="+mn-ea"/>
            <a:cs typeface="+mn-cs"/>
          </a:endParaRPr>
        </a:p>
      </dgm:t>
    </dgm:pt>
    <dgm:pt modelId="{795A7584-7625-42D9-99A5-81483C57B459}" type="parTrans" cxnId="{5A1C1D7C-D999-44C4-9C5C-76E387C86D2C}">
      <dgm:prSet/>
      <dgm:spPr/>
      <dgm:t>
        <a:bodyPr/>
        <a:lstStyle/>
        <a:p>
          <a:endParaRPr lang="en-US"/>
        </a:p>
      </dgm:t>
    </dgm:pt>
    <dgm:pt modelId="{4A75C331-85BC-4859-B36C-CF1B298E3FF7}" type="sibTrans" cxnId="{5A1C1D7C-D999-44C4-9C5C-76E387C86D2C}">
      <dgm:prSet/>
      <dgm:spPr>
        <a:xfrm rot="21576302">
          <a:off x="2924942" y="555885"/>
          <a:ext cx="155057" cy="234403"/>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E71E285F-8ED8-46C9-AF17-862895E9984D}">
      <dgm:prSet phldrT="[Text]">
        <dgm:style>
          <a:lnRef idx="2">
            <a:schemeClr val="accent3"/>
          </a:lnRef>
          <a:fillRef idx="1">
            <a:schemeClr val="lt1"/>
          </a:fillRef>
          <a:effectRef idx="0">
            <a:schemeClr val="accent3"/>
          </a:effectRef>
          <a:fontRef idx="minor">
            <a:schemeClr val="dk1"/>
          </a:fontRef>
        </dgm:style>
      </dgm:prSet>
      <dgm:spPr>
        <a:xfrm>
          <a:off x="3144360" y="40666"/>
          <a:ext cx="1192481" cy="1254665"/>
        </a:xfrm>
        <a:solidFill>
          <a:sysClr val="window" lastClr="FFFFFF"/>
        </a:solidFill>
        <a:ln w="12700" cap="flat" cmpd="sng" algn="ctr">
          <a:solidFill>
            <a:srgbClr val="A5A5A5"/>
          </a:solidFill>
          <a:prstDash val="solid"/>
          <a:miter lim="800000"/>
        </a:ln>
        <a:effectLst/>
      </dgm:spPr>
      <dgm:t>
        <a:bodyPr/>
        <a:lstStyle/>
        <a:p>
          <a:r>
            <a:rPr lang="en-US" b="1" dirty="0" smtClean="0">
              <a:solidFill>
                <a:sysClr val="windowText" lastClr="000000"/>
              </a:solidFill>
              <a:latin typeface="Calibri" panose="020F0502020204030204"/>
              <a:ea typeface="+mn-ea"/>
              <a:cs typeface="+mn-cs"/>
            </a:rPr>
            <a:t>Intermediate Channel: </a:t>
          </a:r>
        </a:p>
        <a:p>
          <a:r>
            <a:rPr lang="en-US" b="1" dirty="0" smtClean="0">
              <a:solidFill>
                <a:sysClr val="windowText" lastClr="000000"/>
              </a:solidFill>
              <a:latin typeface="Calibri" panose="020F0502020204030204"/>
              <a:ea typeface="+mn-ea"/>
              <a:cs typeface="+mn-cs"/>
            </a:rPr>
            <a:t> Institutions</a:t>
          </a:r>
          <a:endParaRPr lang="en-US" b="1" dirty="0">
            <a:solidFill>
              <a:sysClr val="windowText" lastClr="000000"/>
            </a:solidFill>
            <a:latin typeface="Calibri" panose="020F0502020204030204"/>
            <a:ea typeface="+mn-ea"/>
            <a:cs typeface="+mn-cs"/>
          </a:endParaRPr>
        </a:p>
      </dgm:t>
    </dgm:pt>
    <dgm:pt modelId="{7ADBA2CF-C088-45EE-A44D-979B7E0A7DAA}" type="parTrans" cxnId="{08FF8681-D151-4E56-B68D-7087391CF4EE}">
      <dgm:prSet/>
      <dgm:spPr/>
      <dgm:t>
        <a:bodyPr/>
        <a:lstStyle/>
        <a:p>
          <a:endParaRPr lang="en-US"/>
        </a:p>
      </dgm:t>
    </dgm:pt>
    <dgm:pt modelId="{ED47615E-0FF0-41DC-AA91-638D28FF6ACC}" type="sibTrans" cxnId="{08FF8681-D151-4E56-B68D-7087391CF4EE}">
      <dgm:prSet/>
      <dgm:spPr>
        <a:xfrm rot="32751">
          <a:off x="4406346" y="557841"/>
          <a:ext cx="147362" cy="234403"/>
        </a:xfrm>
        <a:solidFill>
          <a:srgbClr val="5B9BD5">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69FB1EB6-F327-4A77-A971-2919561B52B3}">
      <dgm:prSet phldrT="[Text]">
        <dgm:style>
          <a:lnRef idx="2">
            <a:schemeClr val="accent3"/>
          </a:lnRef>
          <a:fillRef idx="1">
            <a:schemeClr val="lt1"/>
          </a:fillRef>
          <a:effectRef idx="0">
            <a:schemeClr val="accent3"/>
          </a:effectRef>
          <a:fontRef idx="minor">
            <a:schemeClr val="dk1"/>
          </a:fontRef>
        </dgm:style>
      </dgm:prSet>
      <dgm:spPr>
        <a:xfrm>
          <a:off x="4614872" y="64260"/>
          <a:ext cx="1177302" cy="1235351"/>
        </a:xfrm>
        <a:solidFill>
          <a:sysClr val="window" lastClr="FFFFFF"/>
        </a:solidFill>
        <a:ln w="12700" cap="flat" cmpd="sng" algn="ctr">
          <a:solidFill>
            <a:srgbClr val="A5A5A5"/>
          </a:solidFill>
          <a:prstDash val="solid"/>
          <a:miter lim="800000"/>
        </a:ln>
        <a:effectLst/>
      </dgm:spPr>
      <dgm:t>
        <a:bodyPr/>
        <a:lstStyle/>
        <a:p>
          <a:r>
            <a:rPr lang="en-US" b="1" dirty="0" smtClean="0">
              <a:solidFill>
                <a:sysClr val="windowText" lastClr="000000"/>
              </a:solidFill>
              <a:latin typeface="Calibri" panose="020F0502020204030204"/>
              <a:ea typeface="+mn-ea"/>
              <a:cs typeface="+mn-cs"/>
            </a:rPr>
            <a:t>Public Policy Outcome: </a:t>
          </a:r>
        </a:p>
        <a:p>
          <a:r>
            <a:rPr lang="en-US" b="1" dirty="0" smtClean="0">
              <a:solidFill>
                <a:sysClr val="windowText" lastClr="000000"/>
              </a:solidFill>
              <a:latin typeface="Calibri" panose="020F0502020204030204"/>
              <a:ea typeface="+mn-ea"/>
              <a:cs typeface="+mn-cs"/>
            </a:rPr>
            <a:t>Public Education Spending</a:t>
          </a:r>
          <a:endParaRPr lang="en-US" b="1" dirty="0">
            <a:solidFill>
              <a:sysClr val="windowText" lastClr="000000"/>
            </a:solidFill>
            <a:latin typeface="Calibri" panose="020F0502020204030204"/>
            <a:ea typeface="+mn-ea"/>
            <a:cs typeface="+mn-cs"/>
          </a:endParaRPr>
        </a:p>
      </dgm:t>
    </dgm:pt>
    <dgm:pt modelId="{FB873C85-83CC-48B1-B698-244AF9D45826}" type="parTrans" cxnId="{6E58CD74-0FE5-41FF-9FCF-68BE120CA09A}">
      <dgm:prSet/>
      <dgm:spPr/>
      <dgm:t>
        <a:bodyPr/>
        <a:lstStyle/>
        <a:p>
          <a:endParaRPr lang="en-US"/>
        </a:p>
      </dgm:t>
    </dgm:pt>
    <dgm:pt modelId="{551E22D2-E6B1-4B79-B295-01B66B0E2E18}" type="sibTrans" cxnId="{6E58CD74-0FE5-41FF-9FCF-68BE120CA09A}">
      <dgm:prSet/>
      <dgm:spPr/>
      <dgm:t>
        <a:bodyPr/>
        <a:lstStyle/>
        <a:p>
          <a:endParaRPr lang="en-US"/>
        </a:p>
      </dgm:t>
    </dgm:pt>
    <dgm:pt modelId="{1E80BC82-33CC-42E0-B26D-BC94BC5CF4B9}" type="pres">
      <dgm:prSet presAssocID="{612C219A-15F7-400D-AE6C-19EDF435022C}" presName="Name0" presStyleCnt="0">
        <dgm:presLayoutVars>
          <dgm:dir/>
          <dgm:resizeHandles val="exact"/>
        </dgm:presLayoutVars>
      </dgm:prSet>
      <dgm:spPr/>
      <dgm:t>
        <a:bodyPr/>
        <a:lstStyle/>
        <a:p>
          <a:endParaRPr lang="en-US"/>
        </a:p>
      </dgm:t>
    </dgm:pt>
    <dgm:pt modelId="{F2BE7BF1-4AFB-4561-89E9-55A4B1BCFF9D}" type="pres">
      <dgm:prSet presAssocID="{C883E365-D782-491B-8563-3D8178F4B43B}" presName="node" presStyleLbl="node1" presStyleIdx="0" presStyleCnt="4" custScaleX="132515" custScaleY="115024" custLinFactNeighborX="27745" custLinFactNeighborY="2876">
        <dgm:presLayoutVars>
          <dgm:bulletEnabled val="1"/>
        </dgm:presLayoutVars>
      </dgm:prSet>
      <dgm:spPr>
        <a:prstGeom prst="roundRect">
          <a:avLst>
            <a:gd name="adj" fmla="val 10000"/>
          </a:avLst>
        </a:prstGeom>
      </dgm:spPr>
      <dgm:t>
        <a:bodyPr/>
        <a:lstStyle/>
        <a:p>
          <a:endParaRPr lang="en-US"/>
        </a:p>
      </dgm:t>
    </dgm:pt>
    <dgm:pt modelId="{7B06C89B-126C-4683-B6F3-09DB5A4BAE46}" type="pres">
      <dgm:prSet presAssocID="{7644B16F-5F22-4CDB-B21F-529DA471C7A4}" presName="sibTrans" presStyleLbl="sibTrans2D1" presStyleIdx="0" presStyleCnt="3"/>
      <dgm:spPr>
        <a:prstGeom prst="rightArrow">
          <a:avLst>
            <a:gd name="adj1" fmla="val 60000"/>
            <a:gd name="adj2" fmla="val 50000"/>
          </a:avLst>
        </a:prstGeom>
      </dgm:spPr>
      <dgm:t>
        <a:bodyPr/>
        <a:lstStyle/>
        <a:p>
          <a:endParaRPr lang="en-US"/>
        </a:p>
      </dgm:t>
    </dgm:pt>
    <dgm:pt modelId="{8A94BDE3-E8EF-4622-94AF-FAE7106DD42B}" type="pres">
      <dgm:prSet presAssocID="{7644B16F-5F22-4CDB-B21F-529DA471C7A4}" presName="connectorText" presStyleLbl="sibTrans2D1" presStyleIdx="0" presStyleCnt="3"/>
      <dgm:spPr/>
      <dgm:t>
        <a:bodyPr/>
        <a:lstStyle/>
        <a:p>
          <a:endParaRPr lang="en-US"/>
        </a:p>
      </dgm:t>
    </dgm:pt>
    <dgm:pt modelId="{DCCE48AB-E58D-49AC-86A2-0465A5C7ACC2}" type="pres">
      <dgm:prSet presAssocID="{B57CAE68-61C9-4F2E-B6AD-E7ED174865A8}" presName="node" presStyleLbl="node1" presStyleIdx="1" presStyleCnt="4" custScaleX="124411" custScaleY="116217" custLinFactNeighborX="10509" custLinFactNeighborY="2241">
        <dgm:presLayoutVars>
          <dgm:bulletEnabled val="1"/>
        </dgm:presLayoutVars>
      </dgm:prSet>
      <dgm:spPr>
        <a:prstGeom prst="roundRect">
          <a:avLst>
            <a:gd name="adj" fmla="val 10000"/>
          </a:avLst>
        </a:prstGeom>
      </dgm:spPr>
      <dgm:t>
        <a:bodyPr/>
        <a:lstStyle/>
        <a:p>
          <a:endParaRPr lang="en-US"/>
        </a:p>
      </dgm:t>
    </dgm:pt>
    <dgm:pt modelId="{0F68A1EF-6E5C-4559-92C0-13CDD6F6DE0B}" type="pres">
      <dgm:prSet presAssocID="{4A75C331-85BC-4859-B36C-CF1B298E3FF7}" presName="sibTrans" presStyleLbl="sibTrans2D1" presStyleIdx="1" presStyleCnt="3"/>
      <dgm:spPr>
        <a:prstGeom prst="rightArrow">
          <a:avLst>
            <a:gd name="adj1" fmla="val 60000"/>
            <a:gd name="adj2" fmla="val 50000"/>
          </a:avLst>
        </a:prstGeom>
      </dgm:spPr>
      <dgm:t>
        <a:bodyPr/>
        <a:lstStyle/>
        <a:p>
          <a:endParaRPr lang="en-US"/>
        </a:p>
      </dgm:t>
    </dgm:pt>
    <dgm:pt modelId="{6955B6FF-A9CA-47D0-A46A-A42818A93736}" type="pres">
      <dgm:prSet presAssocID="{4A75C331-85BC-4859-B36C-CF1B298E3FF7}" presName="connectorText" presStyleLbl="sibTrans2D1" presStyleIdx="1" presStyleCnt="3"/>
      <dgm:spPr/>
      <dgm:t>
        <a:bodyPr/>
        <a:lstStyle/>
        <a:p>
          <a:endParaRPr lang="en-US"/>
        </a:p>
      </dgm:t>
    </dgm:pt>
    <dgm:pt modelId="{959F93AD-F3A1-4AFC-B9F1-EFCB4FAFC79B}" type="pres">
      <dgm:prSet presAssocID="{E71E285F-8ED8-46C9-AF17-862895E9984D}" presName="node" presStyleLbl="node1" presStyleIdx="2" presStyleCnt="4" custScaleX="126165" custScaleY="110824" custLinFactNeighborX="-12110" custLinFactNeighborY="1205">
        <dgm:presLayoutVars>
          <dgm:bulletEnabled val="1"/>
        </dgm:presLayoutVars>
      </dgm:prSet>
      <dgm:spPr>
        <a:prstGeom prst="roundRect">
          <a:avLst>
            <a:gd name="adj" fmla="val 10000"/>
          </a:avLst>
        </a:prstGeom>
      </dgm:spPr>
      <dgm:t>
        <a:bodyPr/>
        <a:lstStyle/>
        <a:p>
          <a:endParaRPr lang="en-US"/>
        </a:p>
      </dgm:t>
    </dgm:pt>
    <dgm:pt modelId="{B570F7CB-9C61-4420-A9E7-F058813852C5}" type="pres">
      <dgm:prSet presAssocID="{ED47615E-0FF0-41DC-AA91-638D28FF6ACC}" presName="sibTrans" presStyleLbl="sibTrans2D1" presStyleIdx="2" presStyleCnt="3"/>
      <dgm:spPr>
        <a:prstGeom prst="rightArrow">
          <a:avLst>
            <a:gd name="adj1" fmla="val 60000"/>
            <a:gd name="adj2" fmla="val 50000"/>
          </a:avLst>
        </a:prstGeom>
      </dgm:spPr>
      <dgm:t>
        <a:bodyPr/>
        <a:lstStyle/>
        <a:p>
          <a:endParaRPr lang="en-US"/>
        </a:p>
      </dgm:t>
    </dgm:pt>
    <dgm:pt modelId="{591014BB-B102-4B30-9448-B3CF2CC16CA0}" type="pres">
      <dgm:prSet presAssocID="{ED47615E-0FF0-41DC-AA91-638D28FF6ACC}" presName="connectorText" presStyleLbl="sibTrans2D1" presStyleIdx="2" presStyleCnt="3"/>
      <dgm:spPr/>
      <dgm:t>
        <a:bodyPr/>
        <a:lstStyle/>
        <a:p>
          <a:endParaRPr lang="en-US"/>
        </a:p>
      </dgm:t>
    </dgm:pt>
    <dgm:pt modelId="{FA30DB4A-18C9-45DD-BDE1-00D2854B4270}" type="pres">
      <dgm:prSet presAssocID="{69FB1EB6-F327-4A77-A971-2919561B52B3}" presName="node" presStyleLbl="node1" presStyleIdx="3" presStyleCnt="4" custScaleX="124559" custScaleY="109666" custLinFactNeighborX="-38571" custLinFactNeighborY="2286">
        <dgm:presLayoutVars>
          <dgm:bulletEnabled val="1"/>
        </dgm:presLayoutVars>
      </dgm:prSet>
      <dgm:spPr>
        <a:prstGeom prst="roundRect">
          <a:avLst>
            <a:gd name="adj" fmla="val 10000"/>
          </a:avLst>
        </a:prstGeom>
      </dgm:spPr>
      <dgm:t>
        <a:bodyPr/>
        <a:lstStyle/>
        <a:p>
          <a:endParaRPr lang="en-US"/>
        </a:p>
      </dgm:t>
    </dgm:pt>
  </dgm:ptLst>
  <dgm:cxnLst>
    <dgm:cxn modelId="{08FF8681-D151-4E56-B68D-7087391CF4EE}" srcId="{612C219A-15F7-400D-AE6C-19EDF435022C}" destId="{E71E285F-8ED8-46C9-AF17-862895E9984D}" srcOrd="2" destOrd="0" parTransId="{7ADBA2CF-C088-45EE-A44D-979B7E0A7DAA}" sibTransId="{ED47615E-0FF0-41DC-AA91-638D28FF6ACC}"/>
    <dgm:cxn modelId="{1873D954-BBD8-4989-AEF5-33576B6D681B}" type="presOf" srcId="{ED47615E-0FF0-41DC-AA91-638D28FF6ACC}" destId="{B570F7CB-9C61-4420-A9E7-F058813852C5}" srcOrd="0" destOrd="0" presId="urn:microsoft.com/office/officeart/2005/8/layout/process1"/>
    <dgm:cxn modelId="{89561396-E4A9-46A6-89E0-88F56E51A8E8}" type="presOf" srcId="{7644B16F-5F22-4CDB-B21F-529DA471C7A4}" destId="{7B06C89B-126C-4683-B6F3-09DB5A4BAE46}" srcOrd="0" destOrd="0" presId="urn:microsoft.com/office/officeart/2005/8/layout/process1"/>
    <dgm:cxn modelId="{E5DFFCCF-03B4-4609-9F40-1AC45AAB0056}" type="presOf" srcId="{C883E365-D782-491B-8563-3D8178F4B43B}" destId="{F2BE7BF1-4AFB-4561-89E9-55A4B1BCFF9D}" srcOrd="0" destOrd="0" presId="urn:microsoft.com/office/officeart/2005/8/layout/process1"/>
    <dgm:cxn modelId="{BDAC3652-C3E1-43C5-B4F0-D77E70A1E29A}" type="presOf" srcId="{612C219A-15F7-400D-AE6C-19EDF435022C}" destId="{1E80BC82-33CC-42E0-B26D-BC94BC5CF4B9}" srcOrd="0" destOrd="0" presId="urn:microsoft.com/office/officeart/2005/8/layout/process1"/>
    <dgm:cxn modelId="{5A1C1D7C-D999-44C4-9C5C-76E387C86D2C}" srcId="{612C219A-15F7-400D-AE6C-19EDF435022C}" destId="{B57CAE68-61C9-4F2E-B6AD-E7ED174865A8}" srcOrd="1" destOrd="0" parTransId="{795A7584-7625-42D9-99A5-81483C57B459}" sibTransId="{4A75C331-85BC-4859-B36C-CF1B298E3FF7}"/>
    <dgm:cxn modelId="{ED03EF3A-36EA-461F-B921-44E9774C2614}" type="presOf" srcId="{7644B16F-5F22-4CDB-B21F-529DA471C7A4}" destId="{8A94BDE3-E8EF-4622-94AF-FAE7106DD42B}" srcOrd="1" destOrd="0" presId="urn:microsoft.com/office/officeart/2005/8/layout/process1"/>
    <dgm:cxn modelId="{057CB337-C147-47E8-B739-B33B7F22AB1D}" type="presOf" srcId="{ED47615E-0FF0-41DC-AA91-638D28FF6ACC}" destId="{591014BB-B102-4B30-9448-B3CF2CC16CA0}" srcOrd="1" destOrd="0" presId="urn:microsoft.com/office/officeart/2005/8/layout/process1"/>
    <dgm:cxn modelId="{53C01DEE-FE49-4D83-AA66-6021DC7EB5BF}" srcId="{612C219A-15F7-400D-AE6C-19EDF435022C}" destId="{C883E365-D782-491B-8563-3D8178F4B43B}" srcOrd="0" destOrd="0" parTransId="{614F87FD-F38D-4524-9F4D-B35209ECDC3A}" sibTransId="{7644B16F-5F22-4CDB-B21F-529DA471C7A4}"/>
    <dgm:cxn modelId="{81264B43-F256-4B0C-99EE-92260B79A6A0}" type="presOf" srcId="{4A75C331-85BC-4859-B36C-CF1B298E3FF7}" destId="{6955B6FF-A9CA-47D0-A46A-A42818A93736}" srcOrd="1" destOrd="0" presId="urn:microsoft.com/office/officeart/2005/8/layout/process1"/>
    <dgm:cxn modelId="{1CACF766-FC87-4566-8BE5-A3646F33113C}" type="presOf" srcId="{E71E285F-8ED8-46C9-AF17-862895E9984D}" destId="{959F93AD-F3A1-4AFC-B9F1-EFCB4FAFC79B}" srcOrd="0" destOrd="0" presId="urn:microsoft.com/office/officeart/2005/8/layout/process1"/>
    <dgm:cxn modelId="{7124D436-BC3B-41B6-B330-EB38B3CB9930}" type="presOf" srcId="{69FB1EB6-F327-4A77-A971-2919561B52B3}" destId="{FA30DB4A-18C9-45DD-BDE1-00D2854B4270}" srcOrd="0" destOrd="0" presId="urn:microsoft.com/office/officeart/2005/8/layout/process1"/>
    <dgm:cxn modelId="{98FB3D96-015F-4F5C-98E3-A8BEDAB15969}" type="presOf" srcId="{4A75C331-85BC-4859-B36C-CF1B298E3FF7}" destId="{0F68A1EF-6E5C-4559-92C0-13CDD6F6DE0B}" srcOrd="0" destOrd="0" presId="urn:microsoft.com/office/officeart/2005/8/layout/process1"/>
    <dgm:cxn modelId="{9AA0E78C-1A74-4253-BD32-06DA1A95956F}" type="presOf" srcId="{B57CAE68-61C9-4F2E-B6AD-E7ED174865A8}" destId="{DCCE48AB-E58D-49AC-86A2-0465A5C7ACC2}" srcOrd="0" destOrd="0" presId="urn:microsoft.com/office/officeart/2005/8/layout/process1"/>
    <dgm:cxn modelId="{6E58CD74-0FE5-41FF-9FCF-68BE120CA09A}" srcId="{612C219A-15F7-400D-AE6C-19EDF435022C}" destId="{69FB1EB6-F327-4A77-A971-2919561B52B3}" srcOrd="3" destOrd="0" parTransId="{FB873C85-83CC-48B1-B698-244AF9D45826}" sibTransId="{551E22D2-E6B1-4B79-B295-01B66B0E2E18}"/>
    <dgm:cxn modelId="{DC0F2FBF-B87D-4E05-A1BD-4BF50CE0E656}" type="presParOf" srcId="{1E80BC82-33CC-42E0-B26D-BC94BC5CF4B9}" destId="{F2BE7BF1-4AFB-4561-89E9-55A4B1BCFF9D}" srcOrd="0" destOrd="0" presId="urn:microsoft.com/office/officeart/2005/8/layout/process1"/>
    <dgm:cxn modelId="{34BA7724-30DC-4A90-8CB2-89AAE0F2481A}" type="presParOf" srcId="{1E80BC82-33CC-42E0-B26D-BC94BC5CF4B9}" destId="{7B06C89B-126C-4683-B6F3-09DB5A4BAE46}" srcOrd="1" destOrd="0" presId="urn:microsoft.com/office/officeart/2005/8/layout/process1"/>
    <dgm:cxn modelId="{FAD6D0A0-CA0E-422C-A51F-F41589B69597}" type="presParOf" srcId="{7B06C89B-126C-4683-B6F3-09DB5A4BAE46}" destId="{8A94BDE3-E8EF-4622-94AF-FAE7106DD42B}" srcOrd="0" destOrd="0" presId="urn:microsoft.com/office/officeart/2005/8/layout/process1"/>
    <dgm:cxn modelId="{390701A8-C48A-49F1-9EB8-3B97CBA3518C}" type="presParOf" srcId="{1E80BC82-33CC-42E0-B26D-BC94BC5CF4B9}" destId="{DCCE48AB-E58D-49AC-86A2-0465A5C7ACC2}" srcOrd="2" destOrd="0" presId="urn:microsoft.com/office/officeart/2005/8/layout/process1"/>
    <dgm:cxn modelId="{3B328969-1628-4E54-BB41-82492BC31457}" type="presParOf" srcId="{1E80BC82-33CC-42E0-B26D-BC94BC5CF4B9}" destId="{0F68A1EF-6E5C-4559-92C0-13CDD6F6DE0B}" srcOrd="3" destOrd="0" presId="urn:microsoft.com/office/officeart/2005/8/layout/process1"/>
    <dgm:cxn modelId="{D0659445-A264-4063-99B7-DD1F376843F9}" type="presParOf" srcId="{0F68A1EF-6E5C-4559-92C0-13CDD6F6DE0B}" destId="{6955B6FF-A9CA-47D0-A46A-A42818A93736}" srcOrd="0" destOrd="0" presId="urn:microsoft.com/office/officeart/2005/8/layout/process1"/>
    <dgm:cxn modelId="{B6F5A5DA-DE80-469C-880B-A242DBFF5A4F}" type="presParOf" srcId="{1E80BC82-33CC-42E0-B26D-BC94BC5CF4B9}" destId="{959F93AD-F3A1-4AFC-B9F1-EFCB4FAFC79B}" srcOrd="4" destOrd="0" presId="urn:microsoft.com/office/officeart/2005/8/layout/process1"/>
    <dgm:cxn modelId="{76B71D50-2952-4DFD-B0BE-115DFE40ECA5}" type="presParOf" srcId="{1E80BC82-33CC-42E0-B26D-BC94BC5CF4B9}" destId="{B570F7CB-9C61-4420-A9E7-F058813852C5}" srcOrd="5" destOrd="0" presId="urn:microsoft.com/office/officeart/2005/8/layout/process1"/>
    <dgm:cxn modelId="{A95B6E73-A3FE-4995-8613-5A4AE7AF288B}" type="presParOf" srcId="{B570F7CB-9C61-4420-A9E7-F058813852C5}" destId="{591014BB-B102-4B30-9448-B3CF2CC16CA0}" srcOrd="0" destOrd="0" presId="urn:microsoft.com/office/officeart/2005/8/layout/process1"/>
    <dgm:cxn modelId="{EBCB24AA-394B-4606-91CF-1D590F548992}" type="presParOf" srcId="{1E80BC82-33CC-42E0-B26D-BC94BC5CF4B9}" destId="{FA30DB4A-18C9-45DD-BDE1-00D2854B4270}"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BE7BF1-4AFB-4561-89E9-55A4B1BCFF9D}">
      <dsp:nvSpPr>
        <dsp:cNvPr id="0" name=""/>
        <dsp:cNvSpPr/>
      </dsp:nvSpPr>
      <dsp:spPr>
        <a:xfrm>
          <a:off x="107698" y="90332"/>
          <a:ext cx="1253724" cy="1319799"/>
        </a:xfrm>
        <a:prstGeom prst="roundRect">
          <a:avLst>
            <a:gd name="adj" fmla="val 10000"/>
          </a:avLst>
        </a:prstGeom>
        <a:solidFill>
          <a:sysClr val="window" lastClr="FFFFFF"/>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solidFill>
                <a:sysClr val="windowText" lastClr="000000"/>
              </a:solidFill>
              <a:latin typeface="Calibri" panose="020F0502020204030204"/>
              <a:ea typeface="+mn-ea"/>
              <a:cs typeface="+mn-cs"/>
            </a:rPr>
            <a:t>Economic Contribution to Aggregate Output and Distribution of Resources</a:t>
          </a:r>
        </a:p>
        <a:p>
          <a:pPr lvl="0" algn="ctr" defTabSz="488950">
            <a:lnSpc>
              <a:spcPct val="90000"/>
            </a:lnSpc>
            <a:spcBef>
              <a:spcPct val="0"/>
            </a:spcBef>
            <a:spcAft>
              <a:spcPct val="35000"/>
            </a:spcAft>
          </a:pPr>
          <a:endParaRPr lang="en-US" sz="1100" b="1" kern="1200" dirty="0" smtClean="0">
            <a:solidFill>
              <a:sysClr val="windowText" lastClr="000000"/>
            </a:solidFill>
            <a:latin typeface="Calibri" panose="020F0502020204030204"/>
            <a:ea typeface="+mn-ea"/>
            <a:cs typeface="+mn-cs"/>
          </a:endParaRPr>
        </a:p>
      </dsp:txBody>
      <dsp:txXfrm>
        <a:off x="144418" y="127052"/>
        <a:ext cx="1180284" cy="1246359"/>
      </dsp:txXfrm>
    </dsp:sp>
    <dsp:sp modelId="{7B06C89B-126C-4683-B6F3-09DB5A4BAE46}">
      <dsp:nvSpPr>
        <dsp:cNvPr id="0" name=""/>
        <dsp:cNvSpPr/>
      </dsp:nvSpPr>
      <dsp:spPr>
        <a:xfrm rot="21583614">
          <a:off x="1439725" y="629158"/>
          <a:ext cx="166004" cy="23463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1439725" y="676203"/>
        <a:ext cx="116203" cy="140780"/>
      </dsp:txXfrm>
    </dsp:sp>
    <dsp:sp modelId="{DCCE48AB-E58D-49AC-86A2-0465A5C7ACC2}">
      <dsp:nvSpPr>
        <dsp:cNvPr id="0" name=""/>
        <dsp:cNvSpPr/>
      </dsp:nvSpPr>
      <dsp:spPr>
        <a:xfrm>
          <a:off x="1674635" y="76201"/>
          <a:ext cx="1177052" cy="1333488"/>
        </a:xfrm>
        <a:prstGeom prst="roundRect">
          <a:avLst>
            <a:gd name="adj" fmla="val 10000"/>
          </a:avLst>
        </a:prstGeom>
        <a:solidFill>
          <a:sysClr val="window" lastClr="FFFFFF"/>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solidFill>
                <a:sysClr val="windowText" lastClr="000000"/>
              </a:solidFill>
              <a:latin typeface="Calibri" panose="020F0502020204030204"/>
              <a:ea typeface="+mn-ea"/>
              <a:cs typeface="+mn-cs"/>
            </a:rPr>
            <a:t>De Facto Political Power: </a:t>
          </a:r>
        </a:p>
        <a:p>
          <a:pPr lvl="0" algn="ctr" defTabSz="488950">
            <a:lnSpc>
              <a:spcPct val="90000"/>
            </a:lnSpc>
            <a:spcBef>
              <a:spcPct val="0"/>
            </a:spcBef>
            <a:spcAft>
              <a:spcPct val="35000"/>
            </a:spcAft>
          </a:pPr>
          <a:endParaRPr lang="en-US" sz="1100" b="1" kern="1200" dirty="0" smtClean="0">
            <a:solidFill>
              <a:sysClr val="windowText" lastClr="000000"/>
            </a:solidFill>
            <a:latin typeface="Calibri" panose="020F0502020204030204"/>
            <a:ea typeface="+mn-ea"/>
            <a:cs typeface="+mn-cs"/>
          </a:endParaRPr>
        </a:p>
        <a:p>
          <a:pPr lvl="0" algn="ctr" defTabSz="488950">
            <a:lnSpc>
              <a:spcPct val="90000"/>
            </a:lnSpc>
            <a:spcBef>
              <a:spcPct val="0"/>
            </a:spcBef>
            <a:spcAft>
              <a:spcPct val="35000"/>
            </a:spcAft>
          </a:pPr>
          <a:r>
            <a:rPr lang="en-US" sz="1100" b="1" kern="1200" dirty="0" smtClean="0">
              <a:solidFill>
                <a:sysClr val="windowText" lastClr="000000"/>
              </a:solidFill>
              <a:latin typeface="Calibri" panose="020F0502020204030204"/>
              <a:ea typeface="+mn-ea"/>
              <a:cs typeface="+mn-cs"/>
            </a:rPr>
            <a:t>Lobbying Power</a:t>
          </a:r>
          <a:endParaRPr lang="en-US" sz="1100" b="1" kern="1200" dirty="0">
            <a:solidFill>
              <a:sysClr val="windowText" lastClr="000000"/>
            </a:solidFill>
            <a:latin typeface="Calibri" panose="020F0502020204030204"/>
            <a:ea typeface="+mn-ea"/>
            <a:cs typeface="+mn-cs"/>
          </a:endParaRPr>
        </a:p>
      </dsp:txBody>
      <dsp:txXfrm>
        <a:off x="1709110" y="110676"/>
        <a:ext cx="1108102" cy="1264538"/>
      </dsp:txXfrm>
    </dsp:sp>
    <dsp:sp modelId="{0F68A1EF-6E5C-4559-92C0-13CDD6F6DE0B}">
      <dsp:nvSpPr>
        <dsp:cNvPr id="0" name=""/>
        <dsp:cNvSpPr/>
      </dsp:nvSpPr>
      <dsp:spPr>
        <a:xfrm rot="21572355">
          <a:off x="2924896" y="619684"/>
          <a:ext cx="155210" cy="23463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2924897" y="666797"/>
        <a:ext cx="108647" cy="140780"/>
      </dsp:txXfrm>
    </dsp:sp>
    <dsp:sp modelId="{959F93AD-F3A1-4AFC-B9F1-EFCB4FAFC79B}">
      <dsp:nvSpPr>
        <dsp:cNvPr id="0" name=""/>
        <dsp:cNvSpPr/>
      </dsp:nvSpPr>
      <dsp:spPr>
        <a:xfrm>
          <a:off x="3144529" y="95254"/>
          <a:ext cx="1193647" cy="1271608"/>
        </a:xfrm>
        <a:prstGeom prst="roundRect">
          <a:avLst>
            <a:gd name="adj" fmla="val 10000"/>
          </a:avLst>
        </a:prstGeom>
        <a:solidFill>
          <a:sysClr val="window" lastClr="FFFFFF"/>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solidFill>
                <a:sysClr val="windowText" lastClr="000000"/>
              </a:solidFill>
              <a:latin typeface="Calibri" panose="020F0502020204030204"/>
              <a:ea typeface="+mn-ea"/>
              <a:cs typeface="+mn-cs"/>
            </a:rPr>
            <a:t>Intermediate Channel: </a:t>
          </a:r>
        </a:p>
        <a:p>
          <a:pPr lvl="0" algn="ctr" defTabSz="488950">
            <a:lnSpc>
              <a:spcPct val="90000"/>
            </a:lnSpc>
            <a:spcBef>
              <a:spcPct val="0"/>
            </a:spcBef>
            <a:spcAft>
              <a:spcPct val="35000"/>
            </a:spcAft>
          </a:pPr>
          <a:r>
            <a:rPr lang="en-US" sz="1100" b="1" kern="1200" dirty="0" smtClean="0">
              <a:solidFill>
                <a:sysClr val="windowText" lastClr="000000"/>
              </a:solidFill>
              <a:latin typeface="Calibri" panose="020F0502020204030204"/>
              <a:ea typeface="+mn-ea"/>
              <a:cs typeface="+mn-cs"/>
            </a:rPr>
            <a:t> Institutions</a:t>
          </a:r>
          <a:endParaRPr lang="en-US" sz="1100" b="1" kern="1200" dirty="0">
            <a:solidFill>
              <a:sysClr val="windowText" lastClr="000000"/>
            </a:solidFill>
            <a:latin typeface="Calibri" panose="020F0502020204030204"/>
            <a:ea typeface="+mn-ea"/>
            <a:cs typeface="+mn-cs"/>
          </a:endParaRPr>
        </a:p>
      </dsp:txBody>
      <dsp:txXfrm>
        <a:off x="3179490" y="130215"/>
        <a:ext cx="1123725" cy="1201686"/>
      </dsp:txXfrm>
    </dsp:sp>
    <dsp:sp modelId="{B570F7CB-9C61-4420-A9E7-F058813852C5}">
      <dsp:nvSpPr>
        <dsp:cNvPr id="0" name=""/>
        <dsp:cNvSpPr/>
      </dsp:nvSpPr>
      <dsp:spPr>
        <a:xfrm rot="29118">
          <a:off x="4407749" y="620011"/>
          <a:ext cx="147504" cy="234632"/>
        </a:xfrm>
        <a:prstGeom prst="rightArrow">
          <a:avLst>
            <a:gd name="adj1" fmla="val 60000"/>
            <a:gd name="adj2" fmla="val 50000"/>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solidFill>
              <a:sysClr val="window" lastClr="FFFFFF"/>
            </a:solidFill>
            <a:latin typeface="Calibri" panose="020F0502020204030204"/>
            <a:ea typeface="+mn-ea"/>
            <a:cs typeface="+mn-cs"/>
          </a:endParaRPr>
        </a:p>
      </dsp:txBody>
      <dsp:txXfrm>
        <a:off x="4407750" y="666750"/>
        <a:ext cx="103253" cy="140780"/>
      </dsp:txXfrm>
    </dsp:sp>
    <dsp:sp modelId="{FA30DB4A-18C9-45DD-BDE1-00D2854B4270}">
      <dsp:nvSpPr>
        <dsp:cNvPr id="0" name=""/>
        <dsp:cNvSpPr/>
      </dsp:nvSpPr>
      <dsp:spPr>
        <a:xfrm>
          <a:off x="4616478" y="114301"/>
          <a:ext cx="1178453" cy="1258321"/>
        </a:xfrm>
        <a:prstGeom prst="roundRect">
          <a:avLst>
            <a:gd name="adj" fmla="val 10000"/>
          </a:avLst>
        </a:prstGeom>
        <a:solidFill>
          <a:sysClr val="window" lastClr="FFFFFF"/>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dirty="0" smtClean="0">
              <a:solidFill>
                <a:sysClr val="windowText" lastClr="000000"/>
              </a:solidFill>
              <a:latin typeface="Calibri" panose="020F0502020204030204"/>
              <a:ea typeface="+mn-ea"/>
              <a:cs typeface="+mn-cs"/>
            </a:rPr>
            <a:t>Public Policy Outcome: </a:t>
          </a:r>
        </a:p>
        <a:p>
          <a:pPr lvl="0" algn="ctr" defTabSz="488950">
            <a:lnSpc>
              <a:spcPct val="90000"/>
            </a:lnSpc>
            <a:spcBef>
              <a:spcPct val="0"/>
            </a:spcBef>
            <a:spcAft>
              <a:spcPct val="35000"/>
            </a:spcAft>
          </a:pPr>
          <a:r>
            <a:rPr lang="en-US" sz="1100" b="1" kern="1200" dirty="0" smtClean="0">
              <a:solidFill>
                <a:sysClr val="windowText" lastClr="000000"/>
              </a:solidFill>
              <a:latin typeface="Calibri" panose="020F0502020204030204"/>
              <a:ea typeface="+mn-ea"/>
              <a:cs typeface="+mn-cs"/>
            </a:rPr>
            <a:t>Public Education Spending</a:t>
          </a:r>
          <a:endParaRPr lang="en-US" sz="1100" b="1" kern="1200" dirty="0">
            <a:solidFill>
              <a:sysClr val="windowText" lastClr="000000"/>
            </a:solidFill>
            <a:latin typeface="Calibri" panose="020F0502020204030204"/>
            <a:ea typeface="+mn-ea"/>
            <a:cs typeface="+mn-cs"/>
          </a:endParaRPr>
        </a:p>
      </dsp:txBody>
      <dsp:txXfrm>
        <a:off x="4650994" y="148817"/>
        <a:ext cx="1109421" cy="11892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2385-DD3C-4674-956F-9F32C389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7826</Words>
  <Characters>44613</Characters>
  <Application>Microsoft Office Word</Application>
  <DocSecurity>0</DocSecurity>
  <Lines>371</Lines>
  <Paragraphs>104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FIU</Company>
  <LinksUpToDate>false</LinksUpToDate>
  <CharactersWithSpaces>52335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Ece Guleryuz</cp:lastModifiedBy>
  <cp:revision>4</cp:revision>
  <cp:lastPrinted>2014-10-12T21:25:00Z</cp:lastPrinted>
  <dcterms:created xsi:type="dcterms:W3CDTF">2015-12-11T11:57:00Z</dcterms:created>
  <dcterms:modified xsi:type="dcterms:W3CDTF">2016-01-23T12:31:00Z</dcterms:modified>
</cp:coreProperties>
</file>